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5D21" w14:textId="77777777" w:rsidR="007F1CFD" w:rsidRPr="009E3CA8" w:rsidRDefault="009E3CA8" w:rsidP="009E3CA8">
      <w:pPr>
        <w:jc w:val="center"/>
        <w:rPr>
          <w:b/>
          <w:noProof/>
          <w:lang w:eastAsia="en-GB"/>
        </w:rPr>
      </w:pPr>
      <w:r w:rsidRPr="009E3CA8">
        <w:rPr>
          <w:b/>
          <w:noProof/>
          <w:lang w:eastAsia="en-GB"/>
        </w:rPr>
        <w:t>Specialist Quality Mark (SQM)</w:t>
      </w:r>
    </w:p>
    <w:p w14:paraId="46D05D22" w14:textId="60DA6F72" w:rsidR="009E3CA8" w:rsidRPr="009E3CA8" w:rsidRDefault="009E3CA8" w:rsidP="009E3CA8">
      <w:pPr>
        <w:jc w:val="center"/>
        <w:rPr>
          <w:b/>
          <w:noProof/>
          <w:lang w:eastAsia="en-GB"/>
        </w:rPr>
      </w:pPr>
      <w:r w:rsidRPr="009E3CA8">
        <w:rPr>
          <w:b/>
          <w:noProof/>
          <w:lang w:eastAsia="en-GB"/>
        </w:rPr>
        <w:t xml:space="preserve">Audit Pricing Schedule </w:t>
      </w:r>
      <w:r w:rsidR="00AC0F61">
        <w:rPr>
          <w:b/>
          <w:noProof/>
          <w:lang w:eastAsia="en-GB"/>
        </w:rPr>
        <w:t>and Relevant Information</w:t>
      </w:r>
    </w:p>
    <w:p w14:paraId="46D05D23" w14:textId="5E7A3F7D" w:rsidR="009E3CA8" w:rsidRPr="009E3CA8" w:rsidRDefault="007B3ECA" w:rsidP="009E3CA8">
      <w:pPr>
        <w:rPr>
          <w:lang w:eastAsia="en-GB"/>
        </w:rPr>
      </w:pPr>
      <w:r>
        <w:rPr>
          <w:lang w:eastAsia="en-GB"/>
        </w:rPr>
        <w:t>From 1</w:t>
      </w:r>
      <w:r w:rsidRPr="007B3ECA">
        <w:rPr>
          <w:vertAlign w:val="superscript"/>
          <w:lang w:eastAsia="en-GB"/>
        </w:rPr>
        <w:t>st</w:t>
      </w:r>
      <w:r>
        <w:rPr>
          <w:lang w:eastAsia="en-GB"/>
        </w:rPr>
        <w:t xml:space="preserve"> October 2022, the following fees will apply to all scheduled audit activity:</w:t>
      </w:r>
    </w:p>
    <w:tbl>
      <w:tblPr>
        <w:tblStyle w:val="TableGrid"/>
        <w:tblW w:w="0" w:type="auto"/>
        <w:tblLook w:val="04A0" w:firstRow="1" w:lastRow="0" w:firstColumn="1" w:lastColumn="0" w:noHBand="0" w:noVBand="1"/>
      </w:tblPr>
      <w:tblGrid>
        <w:gridCol w:w="1508"/>
        <w:gridCol w:w="1262"/>
        <w:gridCol w:w="1276"/>
        <w:gridCol w:w="1299"/>
        <w:gridCol w:w="1299"/>
        <w:gridCol w:w="1299"/>
        <w:gridCol w:w="1299"/>
      </w:tblGrid>
      <w:tr w:rsidR="00E80291" w14:paraId="46D05D2B" w14:textId="77777777" w:rsidTr="007B4E1C">
        <w:tc>
          <w:tcPr>
            <w:tcW w:w="1508" w:type="dxa"/>
            <w:vMerge w:val="restart"/>
          </w:tcPr>
          <w:p w14:paraId="6671E042" w14:textId="77777777" w:rsidR="00292DB2" w:rsidRDefault="00292DB2" w:rsidP="009E3CA8">
            <w:pPr>
              <w:rPr>
                <w:lang w:eastAsia="en-GB"/>
              </w:rPr>
            </w:pPr>
          </w:p>
          <w:p w14:paraId="28B7D386" w14:textId="77777777" w:rsidR="00212BC4" w:rsidRDefault="00212BC4" w:rsidP="009E3CA8">
            <w:pPr>
              <w:rPr>
                <w:b/>
                <w:bCs/>
                <w:lang w:eastAsia="en-GB"/>
              </w:rPr>
            </w:pPr>
          </w:p>
          <w:p w14:paraId="7195EE61" w14:textId="77777777" w:rsidR="00212BC4" w:rsidRDefault="00212BC4" w:rsidP="009E3CA8">
            <w:pPr>
              <w:rPr>
                <w:b/>
                <w:bCs/>
                <w:lang w:eastAsia="en-GB"/>
              </w:rPr>
            </w:pPr>
          </w:p>
          <w:p w14:paraId="15ECDC47" w14:textId="2F3A7B38" w:rsidR="00292DB2" w:rsidRPr="00292DB2" w:rsidRDefault="00292DB2" w:rsidP="009E3CA8">
            <w:pPr>
              <w:rPr>
                <w:b/>
                <w:bCs/>
                <w:lang w:eastAsia="en-GB"/>
              </w:rPr>
            </w:pPr>
            <w:r w:rsidRPr="00292DB2">
              <w:rPr>
                <w:b/>
                <w:bCs/>
                <w:lang w:eastAsia="en-GB"/>
              </w:rPr>
              <w:t>New Applicants</w:t>
            </w:r>
          </w:p>
        </w:tc>
        <w:tc>
          <w:tcPr>
            <w:tcW w:w="1262" w:type="dxa"/>
          </w:tcPr>
          <w:p w14:paraId="46D05D25" w14:textId="3B0A51B2" w:rsidR="00292DB2" w:rsidRDefault="00292DB2" w:rsidP="009E3CA8">
            <w:pPr>
              <w:rPr>
                <w:lang w:eastAsia="en-GB"/>
              </w:rPr>
            </w:pPr>
          </w:p>
        </w:tc>
        <w:tc>
          <w:tcPr>
            <w:tcW w:w="1276" w:type="dxa"/>
          </w:tcPr>
          <w:p w14:paraId="46D05D26" w14:textId="607F0249" w:rsidR="00292DB2" w:rsidRPr="00212BC4" w:rsidRDefault="00292DB2" w:rsidP="009E3CA8">
            <w:pPr>
              <w:rPr>
                <w:b/>
                <w:bCs/>
                <w:lang w:eastAsia="en-GB"/>
              </w:rPr>
            </w:pPr>
            <w:r w:rsidRPr="00212BC4">
              <w:rPr>
                <w:b/>
                <w:bCs/>
                <w:lang w:eastAsia="en-GB"/>
              </w:rPr>
              <w:t>1 FTE</w:t>
            </w:r>
            <w:r w:rsidR="00BE6EC2">
              <w:rPr>
                <w:b/>
                <w:bCs/>
                <w:lang w:eastAsia="en-GB"/>
              </w:rPr>
              <w:t>*</w:t>
            </w:r>
          </w:p>
        </w:tc>
        <w:tc>
          <w:tcPr>
            <w:tcW w:w="1299" w:type="dxa"/>
          </w:tcPr>
          <w:p w14:paraId="46D05D27" w14:textId="03878350" w:rsidR="00292DB2" w:rsidRPr="00212BC4" w:rsidRDefault="00292DB2" w:rsidP="009E3CA8">
            <w:pPr>
              <w:rPr>
                <w:b/>
                <w:bCs/>
                <w:lang w:eastAsia="en-GB"/>
              </w:rPr>
            </w:pPr>
            <w:r w:rsidRPr="00212BC4">
              <w:rPr>
                <w:b/>
                <w:bCs/>
                <w:lang w:eastAsia="en-GB"/>
              </w:rPr>
              <w:t>2 – 6 FTE</w:t>
            </w:r>
            <w:r w:rsidR="00BE6EC2">
              <w:rPr>
                <w:b/>
                <w:bCs/>
                <w:lang w:eastAsia="en-GB"/>
              </w:rPr>
              <w:t>*</w:t>
            </w:r>
          </w:p>
        </w:tc>
        <w:tc>
          <w:tcPr>
            <w:tcW w:w="1299" w:type="dxa"/>
          </w:tcPr>
          <w:p w14:paraId="46D05D28" w14:textId="00C550E9" w:rsidR="00292DB2" w:rsidRPr="00212BC4" w:rsidRDefault="00292DB2" w:rsidP="009E3CA8">
            <w:pPr>
              <w:rPr>
                <w:b/>
                <w:bCs/>
                <w:lang w:eastAsia="en-GB"/>
              </w:rPr>
            </w:pPr>
            <w:r w:rsidRPr="00212BC4">
              <w:rPr>
                <w:b/>
                <w:bCs/>
                <w:lang w:eastAsia="en-GB"/>
              </w:rPr>
              <w:t>7 – 15 FTE</w:t>
            </w:r>
            <w:r w:rsidR="00BE6EC2">
              <w:rPr>
                <w:b/>
                <w:bCs/>
                <w:lang w:eastAsia="en-GB"/>
              </w:rPr>
              <w:t>*</w:t>
            </w:r>
          </w:p>
        </w:tc>
        <w:tc>
          <w:tcPr>
            <w:tcW w:w="1299" w:type="dxa"/>
          </w:tcPr>
          <w:p w14:paraId="46D05D29" w14:textId="2CBD9AA4" w:rsidR="00292DB2" w:rsidRPr="00212BC4" w:rsidRDefault="00292DB2" w:rsidP="009E3CA8">
            <w:pPr>
              <w:rPr>
                <w:b/>
                <w:bCs/>
                <w:lang w:eastAsia="en-GB"/>
              </w:rPr>
            </w:pPr>
            <w:r w:rsidRPr="00212BC4">
              <w:rPr>
                <w:b/>
                <w:bCs/>
                <w:lang w:eastAsia="en-GB"/>
              </w:rPr>
              <w:t>16 – 60 FTE</w:t>
            </w:r>
            <w:r w:rsidR="00BE6EC2">
              <w:rPr>
                <w:b/>
                <w:bCs/>
                <w:lang w:eastAsia="en-GB"/>
              </w:rPr>
              <w:t>*</w:t>
            </w:r>
          </w:p>
        </w:tc>
        <w:tc>
          <w:tcPr>
            <w:tcW w:w="1299" w:type="dxa"/>
          </w:tcPr>
          <w:p w14:paraId="46D05D2A" w14:textId="00E24E90" w:rsidR="00292DB2" w:rsidRPr="00212BC4" w:rsidRDefault="00292DB2" w:rsidP="009E3CA8">
            <w:pPr>
              <w:rPr>
                <w:b/>
                <w:bCs/>
                <w:lang w:eastAsia="en-GB"/>
              </w:rPr>
            </w:pPr>
            <w:r w:rsidRPr="00212BC4">
              <w:rPr>
                <w:b/>
                <w:bCs/>
                <w:lang w:eastAsia="en-GB"/>
              </w:rPr>
              <w:t>61+ FTE</w:t>
            </w:r>
            <w:r w:rsidR="00BE6EC2">
              <w:rPr>
                <w:b/>
                <w:bCs/>
                <w:lang w:eastAsia="en-GB"/>
              </w:rPr>
              <w:t>*</w:t>
            </w:r>
          </w:p>
        </w:tc>
      </w:tr>
      <w:tr w:rsidR="00E80291" w14:paraId="46D05D32" w14:textId="77777777" w:rsidTr="007B4E1C">
        <w:tc>
          <w:tcPr>
            <w:tcW w:w="1508" w:type="dxa"/>
            <w:vMerge/>
          </w:tcPr>
          <w:p w14:paraId="1E9B35A1" w14:textId="77777777" w:rsidR="00292DB2" w:rsidRPr="009E3CA8" w:rsidRDefault="00292DB2" w:rsidP="009E3CA8">
            <w:pPr>
              <w:rPr>
                <w:b/>
                <w:lang w:eastAsia="en-GB"/>
              </w:rPr>
            </w:pPr>
          </w:p>
        </w:tc>
        <w:tc>
          <w:tcPr>
            <w:tcW w:w="1262" w:type="dxa"/>
          </w:tcPr>
          <w:p w14:paraId="46D05D2C" w14:textId="22F4A644" w:rsidR="00292DB2" w:rsidRPr="009E3CA8" w:rsidRDefault="00292DB2" w:rsidP="009E3CA8">
            <w:pPr>
              <w:rPr>
                <w:b/>
                <w:lang w:eastAsia="en-GB"/>
              </w:rPr>
            </w:pPr>
            <w:r w:rsidRPr="009E3CA8">
              <w:rPr>
                <w:b/>
                <w:lang w:eastAsia="en-GB"/>
              </w:rPr>
              <w:t>Desktop Audit</w:t>
            </w:r>
          </w:p>
        </w:tc>
        <w:tc>
          <w:tcPr>
            <w:tcW w:w="6472" w:type="dxa"/>
            <w:gridSpan w:val="5"/>
          </w:tcPr>
          <w:p w14:paraId="3CA5161B" w14:textId="77777777" w:rsidR="00212BC4" w:rsidRDefault="00212BC4" w:rsidP="0001647C">
            <w:pPr>
              <w:jc w:val="center"/>
              <w:rPr>
                <w:lang w:eastAsia="en-GB"/>
              </w:rPr>
            </w:pPr>
          </w:p>
          <w:p w14:paraId="58DBA33A" w14:textId="77777777" w:rsidR="00292DB2" w:rsidRDefault="00292DB2" w:rsidP="0001647C">
            <w:pPr>
              <w:jc w:val="center"/>
              <w:rPr>
                <w:lang w:eastAsia="en-GB"/>
              </w:rPr>
            </w:pPr>
            <w:r>
              <w:rPr>
                <w:lang w:eastAsia="en-GB"/>
              </w:rPr>
              <w:t>£275.00</w:t>
            </w:r>
          </w:p>
          <w:p w14:paraId="46D05D31" w14:textId="244DD470" w:rsidR="00212BC4" w:rsidRDefault="00212BC4" w:rsidP="0001647C">
            <w:pPr>
              <w:jc w:val="center"/>
              <w:rPr>
                <w:lang w:eastAsia="en-GB"/>
              </w:rPr>
            </w:pPr>
          </w:p>
        </w:tc>
      </w:tr>
      <w:tr w:rsidR="00E80291" w14:paraId="46D05D39" w14:textId="77777777" w:rsidTr="007B4E1C">
        <w:tc>
          <w:tcPr>
            <w:tcW w:w="1508" w:type="dxa"/>
            <w:vMerge/>
          </w:tcPr>
          <w:p w14:paraId="6BDF7B39" w14:textId="77777777" w:rsidR="00292DB2" w:rsidRPr="00994CE4" w:rsidRDefault="00292DB2" w:rsidP="009E3CA8">
            <w:pPr>
              <w:rPr>
                <w:b/>
                <w:lang w:eastAsia="en-GB"/>
              </w:rPr>
            </w:pPr>
          </w:p>
        </w:tc>
        <w:tc>
          <w:tcPr>
            <w:tcW w:w="1262" w:type="dxa"/>
          </w:tcPr>
          <w:p w14:paraId="24656F8D" w14:textId="77777777" w:rsidR="00212BC4" w:rsidRDefault="00212BC4" w:rsidP="009E3CA8">
            <w:pPr>
              <w:rPr>
                <w:b/>
                <w:lang w:eastAsia="en-GB"/>
              </w:rPr>
            </w:pPr>
          </w:p>
          <w:p w14:paraId="31DAC4AF" w14:textId="30B82B64" w:rsidR="00292DB2" w:rsidRDefault="00292DB2" w:rsidP="009E3CA8">
            <w:pPr>
              <w:rPr>
                <w:b/>
                <w:lang w:eastAsia="en-GB"/>
              </w:rPr>
            </w:pPr>
            <w:r w:rsidRPr="00994CE4">
              <w:rPr>
                <w:b/>
                <w:lang w:eastAsia="en-GB"/>
              </w:rPr>
              <w:t>Pre</w:t>
            </w:r>
            <w:r>
              <w:rPr>
                <w:b/>
                <w:lang w:eastAsia="en-GB"/>
              </w:rPr>
              <w:t>-</w:t>
            </w:r>
            <w:r w:rsidRPr="00994CE4">
              <w:rPr>
                <w:b/>
                <w:lang w:eastAsia="en-GB"/>
              </w:rPr>
              <w:t>Quality Mark Audit</w:t>
            </w:r>
          </w:p>
          <w:p w14:paraId="46D05D33" w14:textId="7D11E067" w:rsidR="00212BC4" w:rsidRPr="00994CE4" w:rsidRDefault="00212BC4" w:rsidP="009E3CA8">
            <w:pPr>
              <w:rPr>
                <w:b/>
                <w:lang w:eastAsia="en-GB"/>
              </w:rPr>
            </w:pPr>
          </w:p>
        </w:tc>
        <w:tc>
          <w:tcPr>
            <w:tcW w:w="1276" w:type="dxa"/>
          </w:tcPr>
          <w:p w14:paraId="7A1F182C" w14:textId="77777777" w:rsidR="00212BC4" w:rsidRDefault="00212BC4" w:rsidP="009E3CA8">
            <w:pPr>
              <w:rPr>
                <w:lang w:eastAsia="en-GB"/>
              </w:rPr>
            </w:pPr>
          </w:p>
          <w:p w14:paraId="46D05D34" w14:textId="15EF5882" w:rsidR="00292DB2" w:rsidRPr="00994CE4" w:rsidRDefault="00292DB2" w:rsidP="009E3CA8">
            <w:pPr>
              <w:rPr>
                <w:lang w:eastAsia="en-GB"/>
              </w:rPr>
            </w:pPr>
            <w:r w:rsidRPr="00994CE4">
              <w:rPr>
                <w:lang w:eastAsia="en-GB"/>
              </w:rPr>
              <w:t>£</w:t>
            </w:r>
            <w:r w:rsidR="00355FF4">
              <w:rPr>
                <w:lang w:eastAsia="en-GB"/>
              </w:rPr>
              <w:t>825.00</w:t>
            </w:r>
          </w:p>
        </w:tc>
        <w:tc>
          <w:tcPr>
            <w:tcW w:w="1299" w:type="dxa"/>
          </w:tcPr>
          <w:p w14:paraId="0D0522CC" w14:textId="77777777" w:rsidR="00212BC4" w:rsidRDefault="00212BC4" w:rsidP="009E3CA8">
            <w:pPr>
              <w:rPr>
                <w:lang w:eastAsia="en-GB"/>
              </w:rPr>
            </w:pPr>
          </w:p>
          <w:p w14:paraId="46D05D35" w14:textId="564E1840" w:rsidR="00292DB2" w:rsidRPr="00994CE4" w:rsidRDefault="00292DB2" w:rsidP="009E3CA8">
            <w:pPr>
              <w:rPr>
                <w:lang w:eastAsia="en-GB"/>
              </w:rPr>
            </w:pPr>
            <w:r w:rsidRPr="00994CE4">
              <w:rPr>
                <w:lang w:eastAsia="en-GB"/>
              </w:rPr>
              <w:t>£</w:t>
            </w:r>
            <w:r w:rsidR="00355FF4">
              <w:rPr>
                <w:lang w:eastAsia="en-GB"/>
              </w:rPr>
              <w:t>1000.00</w:t>
            </w:r>
          </w:p>
        </w:tc>
        <w:tc>
          <w:tcPr>
            <w:tcW w:w="1299" w:type="dxa"/>
          </w:tcPr>
          <w:p w14:paraId="4A460C1E" w14:textId="77777777" w:rsidR="00212BC4" w:rsidRDefault="00212BC4" w:rsidP="009E3CA8">
            <w:pPr>
              <w:rPr>
                <w:lang w:eastAsia="en-GB"/>
              </w:rPr>
            </w:pPr>
          </w:p>
          <w:p w14:paraId="46D05D36" w14:textId="1914B3E5" w:rsidR="00292DB2" w:rsidRPr="00994CE4" w:rsidRDefault="00292DB2" w:rsidP="009E3CA8">
            <w:pPr>
              <w:rPr>
                <w:lang w:eastAsia="en-GB"/>
              </w:rPr>
            </w:pPr>
            <w:r w:rsidRPr="00994CE4">
              <w:rPr>
                <w:lang w:eastAsia="en-GB"/>
              </w:rPr>
              <w:t>£</w:t>
            </w:r>
            <w:r w:rsidR="00E80291">
              <w:rPr>
                <w:lang w:eastAsia="en-GB"/>
              </w:rPr>
              <w:t>1350.00</w:t>
            </w:r>
          </w:p>
        </w:tc>
        <w:tc>
          <w:tcPr>
            <w:tcW w:w="1299" w:type="dxa"/>
          </w:tcPr>
          <w:p w14:paraId="7EAC707A" w14:textId="77777777" w:rsidR="00212BC4" w:rsidRDefault="00212BC4" w:rsidP="009E3CA8">
            <w:pPr>
              <w:rPr>
                <w:lang w:eastAsia="en-GB"/>
              </w:rPr>
            </w:pPr>
          </w:p>
          <w:p w14:paraId="46D05D37" w14:textId="7C4BB003" w:rsidR="00292DB2" w:rsidRPr="00994CE4" w:rsidRDefault="00292DB2" w:rsidP="009E3CA8">
            <w:pPr>
              <w:rPr>
                <w:lang w:eastAsia="en-GB"/>
              </w:rPr>
            </w:pPr>
            <w:r w:rsidRPr="00994CE4">
              <w:rPr>
                <w:lang w:eastAsia="en-GB"/>
              </w:rPr>
              <w:t>£</w:t>
            </w:r>
            <w:r w:rsidR="00E80291">
              <w:rPr>
                <w:lang w:eastAsia="en-GB"/>
              </w:rPr>
              <w:t>170</w:t>
            </w:r>
            <w:r w:rsidRPr="00994CE4">
              <w:rPr>
                <w:lang w:eastAsia="en-GB"/>
              </w:rPr>
              <w:t>0</w:t>
            </w:r>
            <w:r w:rsidR="00E80291">
              <w:rPr>
                <w:lang w:eastAsia="en-GB"/>
              </w:rPr>
              <w:t>.00</w:t>
            </w:r>
          </w:p>
        </w:tc>
        <w:tc>
          <w:tcPr>
            <w:tcW w:w="1299" w:type="dxa"/>
          </w:tcPr>
          <w:p w14:paraId="6CDD8E76" w14:textId="77777777" w:rsidR="00212BC4" w:rsidRDefault="00212BC4" w:rsidP="009E3CA8">
            <w:pPr>
              <w:rPr>
                <w:lang w:eastAsia="en-GB"/>
              </w:rPr>
            </w:pPr>
          </w:p>
          <w:p w14:paraId="46D05D38" w14:textId="3863EF3B" w:rsidR="00292DB2" w:rsidRDefault="00292DB2" w:rsidP="009E3CA8">
            <w:pPr>
              <w:rPr>
                <w:lang w:eastAsia="en-GB"/>
              </w:rPr>
            </w:pPr>
            <w:r w:rsidRPr="00994CE4">
              <w:rPr>
                <w:lang w:eastAsia="en-GB"/>
              </w:rPr>
              <w:t>£</w:t>
            </w:r>
            <w:r w:rsidR="00E80291">
              <w:rPr>
                <w:lang w:eastAsia="en-GB"/>
              </w:rPr>
              <w:t>1800.00</w:t>
            </w:r>
          </w:p>
        </w:tc>
      </w:tr>
      <w:tr w:rsidR="008609BD" w14:paraId="751109B8" w14:textId="77777777" w:rsidTr="007B4E1C">
        <w:tc>
          <w:tcPr>
            <w:tcW w:w="1508" w:type="dxa"/>
          </w:tcPr>
          <w:p w14:paraId="4CA2397B" w14:textId="77777777" w:rsidR="008609BD" w:rsidRDefault="008609BD" w:rsidP="008609BD">
            <w:pPr>
              <w:rPr>
                <w:b/>
                <w:lang w:eastAsia="en-GB"/>
              </w:rPr>
            </w:pPr>
          </w:p>
          <w:p w14:paraId="3D311DF0" w14:textId="77777777" w:rsidR="00212BC4" w:rsidRDefault="00212BC4" w:rsidP="008609BD">
            <w:pPr>
              <w:rPr>
                <w:b/>
                <w:lang w:eastAsia="en-GB"/>
              </w:rPr>
            </w:pPr>
          </w:p>
          <w:p w14:paraId="30E5B5AA" w14:textId="699967D4" w:rsidR="008609BD" w:rsidRDefault="008609BD" w:rsidP="008609BD">
            <w:pPr>
              <w:rPr>
                <w:b/>
                <w:lang w:eastAsia="en-GB"/>
              </w:rPr>
            </w:pPr>
            <w:r>
              <w:rPr>
                <w:b/>
                <w:lang w:eastAsia="en-GB"/>
              </w:rPr>
              <w:t>Existing Holders</w:t>
            </w:r>
          </w:p>
          <w:p w14:paraId="40C0F864" w14:textId="29AEC5C4" w:rsidR="008609BD" w:rsidRPr="00994CE4" w:rsidRDefault="008609BD" w:rsidP="008609BD">
            <w:pPr>
              <w:rPr>
                <w:b/>
                <w:lang w:eastAsia="en-GB"/>
              </w:rPr>
            </w:pPr>
          </w:p>
        </w:tc>
        <w:tc>
          <w:tcPr>
            <w:tcW w:w="1262" w:type="dxa"/>
          </w:tcPr>
          <w:p w14:paraId="447244D6" w14:textId="77777777" w:rsidR="00212BC4" w:rsidRDefault="00212BC4" w:rsidP="008609BD">
            <w:pPr>
              <w:rPr>
                <w:b/>
                <w:lang w:eastAsia="en-GB"/>
              </w:rPr>
            </w:pPr>
          </w:p>
          <w:p w14:paraId="7B0E2B20" w14:textId="77777777" w:rsidR="008609BD" w:rsidRDefault="008609BD" w:rsidP="008609BD">
            <w:pPr>
              <w:rPr>
                <w:b/>
                <w:lang w:eastAsia="en-GB"/>
              </w:rPr>
            </w:pPr>
            <w:r w:rsidRPr="00994CE4">
              <w:rPr>
                <w:b/>
                <w:lang w:eastAsia="en-GB"/>
              </w:rPr>
              <w:t>Post Quality Mark Audit</w:t>
            </w:r>
          </w:p>
          <w:p w14:paraId="4605EDB8" w14:textId="6EC79E3B" w:rsidR="00212BC4" w:rsidRPr="00994CE4" w:rsidRDefault="00212BC4" w:rsidP="008609BD">
            <w:pPr>
              <w:rPr>
                <w:b/>
                <w:lang w:eastAsia="en-GB"/>
              </w:rPr>
            </w:pPr>
          </w:p>
        </w:tc>
        <w:tc>
          <w:tcPr>
            <w:tcW w:w="1276" w:type="dxa"/>
          </w:tcPr>
          <w:p w14:paraId="7E0B571D" w14:textId="77777777" w:rsidR="00212BC4" w:rsidRDefault="00212BC4" w:rsidP="008609BD">
            <w:pPr>
              <w:rPr>
                <w:lang w:eastAsia="en-GB"/>
              </w:rPr>
            </w:pPr>
          </w:p>
          <w:p w14:paraId="3F24B3F6" w14:textId="77777777" w:rsidR="00212BC4" w:rsidRDefault="00212BC4" w:rsidP="008609BD">
            <w:pPr>
              <w:rPr>
                <w:lang w:eastAsia="en-GB"/>
              </w:rPr>
            </w:pPr>
          </w:p>
          <w:p w14:paraId="6C7D7A11" w14:textId="1419DC4A" w:rsidR="008609BD" w:rsidRPr="00994CE4" w:rsidRDefault="008609BD" w:rsidP="008609BD">
            <w:pPr>
              <w:rPr>
                <w:lang w:eastAsia="en-GB"/>
              </w:rPr>
            </w:pPr>
            <w:r w:rsidRPr="00994CE4">
              <w:rPr>
                <w:lang w:eastAsia="en-GB"/>
              </w:rPr>
              <w:t>£</w:t>
            </w:r>
            <w:r>
              <w:rPr>
                <w:lang w:eastAsia="en-GB"/>
              </w:rPr>
              <w:t>825.00</w:t>
            </w:r>
          </w:p>
        </w:tc>
        <w:tc>
          <w:tcPr>
            <w:tcW w:w="1299" w:type="dxa"/>
          </w:tcPr>
          <w:p w14:paraId="16206A9C" w14:textId="77777777" w:rsidR="00212BC4" w:rsidRDefault="00212BC4" w:rsidP="008609BD">
            <w:pPr>
              <w:rPr>
                <w:lang w:eastAsia="en-GB"/>
              </w:rPr>
            </w:pPr>
          </w:p>
          <w:p w14:paraId="381427DF" w14:textId="77777777" w:rsidR="00212BC4" w:rsidRDefault="00212BC4" w:rsidP="008609BD">
            <w:pPr>
              <w:rPr>
                <w:lang w:eastAsia="en-GB"/>
              </w:rPr>
            </w:pPr>
          </w:p>
          <w:p w14:paraId="24C0D04B" w14:textId="74A6A4FB" w:rsidR="008609BD" w:rsidRPr="00994CE4" w:rsidRDefault="008609BD" w:rsidP="008609BD">
            <w:pPr>
              <w:rPr>
                <w:lang w:eastAsia="en-GB"/>
              </w:rPr>
            </w:pPr>
            <w:r w:rsidRPr="00994CE4">
              <w:rPr>
                <w:lang w:eastAsia="en-GB"/>
              </w:rPr>
              <w:t>£</w:t>
            </w:r>
            <w:r>
              <w:rPr>
                <w:lang w:eastAsia="en-GB"/>
              </w:rPr>
              <w:t>1000.00</w:t>
            </w:r>
          </w:p>
        </w:tc>
        <w:tc>
          <w:tcPr>
            <w:tcW w:w="1299" w:type="dxa"/>
          </w:tcPr>
          <w:p w14:paraId="5913E27D" w14:textId="77777777" w:rsidR="00212BC4" w:rsidRDefault="00212BC4" w:rsidP="008609BD">
            <w:pPr>
              <w:rPr>
                <w:lang w:eastAsia="en-GB"/>
              </w:rPr>
            </w:pPr>
          </w:p>
          <w:p w14:paraId="64CA5D66" w14:textId="77777777" w:rsidR="00212BC4" w:rsidRDefault="00212BC4" w:rsidP="008609BD">
            <w:pPr>
              <w:rPr>
                <w:lang w:eastAsia="en-GB"/>
              </w:rPr>
            </w:pPr>
          </w:p>
          <w:p w14:paraId="1403994D" w14:textId="6AE4C0EE" w:rsidR="008609BD" w:rsidRPr="00994CE4" w:rsidRDefault="008609BD" w:rsidP="008609BD">
            <w:pPr>
              <w:rPr>
                <w:lang w:eastAsia="en-GB"/>
              </w:rPr>
            </w:pPr>
            <w:r w:rsidRPr="00994CE4">
              <w:rPr>
                <w:lang w:eastAsia="en-GB"/>
              </w:rPr>
              <w:t>£</w:t>
            </w:r>
            <w:r>
              <w:rPr>
                <w:lang w:eastAsia="en-GB"/>
              </w:rPr>
              <w:t>1350.00</w:t>
            </w:r>
          </w:p>
        </w:tc>
        <w:tc>
          <w:tcPr>
            <w:tcW w:w="1299" w:type="dxa"/>
          </w:tcPr>
          <w:p w14:paraId="11AE5773" w14:textId="77777777" w:rsidR="00212BC4" w:rsidRDefault="00212BC4" w:rsidP="008609BD">
            <w:pPr>
              <w:rPr>
                <w:lang w:eastAsia="en-GB"/>
              </w:rPr>
            </w:pPr>
          </w:p>
          <w:p w14:paraId="66238194" w14:textId="77777777" w:rsidR="00212BC4" w:rsidRDefault="00212BC4" w:rsidP="008609BD">
            <w:pPr>
              <w:rPr>
                <w:lang w:eastAsia="en-GB"/>
              </w:rPr>
            </w:pPr>
          </w:p>
          <w:p w14:paraId="691CE075" w14:textId="685D80CF" w:rsidR="008609BD" w:rsidRPr="00994CE4" w:rsidRDefault="008609BD" w:rsidP="008609BD">
            <w:pPr>
              <w:rPr>
                <w:lang w:eastAsia="en-GB"/>
              </w:rPr>
            </w:pPr>
            <w:r w:rsidRPr="00994CE4">
              <w:rPr>
                <w:lang w:eastAsia="en-GB"/>
              </w:rPr>
              <w:t>£</w:t>
            </w:r>
            <w:r>
              <w:rPr>
                <w:lang w:eastAsia="en-GB"/>
              </w:rPr>
              <w:t>170</w:t>
            </w:r>
            <w:r w:rsidRPr="00994CE4">
              <w:rPr>
                <w:lang w:eastAsia="en-GB"/>
              </w:rPr>
              <w:t>0</w:t>
            </w:r>
            <w:r>
              <w:rPr>
                <w:lang w:eastAsia="en-GB"/>
              </w:rPr>
              <w:t>.00</w:t>
            </w:r>
          </w:p>
        </w:tc>
        <w:tc>
          <w:tcPr>
            <w:tcW w:w="1299" w:type="dxa"/>
          </w:tcPr>
          <w:p w14:paraId="54073D52" w14:textId="77777777" w:rsidR="00212BC4" w:rsidRDefault="00212BC4" w:rsidP="008609BD">
            <w:pPr>
              <w:rPr>
                <w:lang w:eastAsia="en-GB"/>
              </w:rPr>
            </w:pPr>
          </w:p>
          <w:p w14:paraId="045B80B7" w14:textId="77777777" w:rsidR="00212BC4" w:rsidRDefault="00212BC4" w:rsidP="008609BD">
            <w:pPr>
              <w:rPr>
                <w:lang w:eastAsia="en-GB"/>
              </w:rPr>
            </w:pPr>
          </w:p>
          <w:p w14:paraId="13DBDF45" w14:textId="34C8546C" w:rsidR="008609BD" w:rsidRPr="00994CE4" w:rsidRDefault="008609BD" w:rsidP="008609BD">
            <w:pPr>
              <w:rPr>
                <w:lang w:eastAsia="en-GB"/>
              </w:rPr>
            </w:pPr>
            <w:r w:rsidRPr="00994CE4">
              <w:rPr>
                <w:lang w:eastAsia="en-GB"/>
              </w:rPr>
              <w:t>£</w:t>
            </w:r>
            <w:r>
              <w:rPr>
                <w:lang w:eastAsia="en-GB"/>
              </w:rPr>
              <w:t>1800.00</w:t>
            </w:r>
          </w:p>
        </w:tc>
      </w:tr>
      <w:tr w:rsidR="00634E43" w14:paraId="22FB4BA3" w14:textId="77777777" w:rsidTr="000A55C7">
        <w:tc>
          <w:tcPr>
            <w:tcW w:w="9242" w:type="dxa"/>
            <w:gridSpan w:val="7"/>
          </w:tcPr>
          <w:p w14:paraId="7A64EC8B" w14:textId="77777777" w:rsidR="00634E43" w:rsidRDefault="00634E43" w:rsidP="008609BD">
            <w:pPr>
              <w:rPr>
                <w:lang w:eastAsia="en-GB"/>
              </w:rPr>
            </w:pPr>
          </w:p>
          <w:p w14:paraId="158F605F" w14:textId="4FDC1FD6" w:rsidR="00015051" w:rsidRPr="00015051" w:rsidRDefault="00634E43" w:rsidP="00634E43">
            <w:pPr>
              <w:rPr>
                <w:rFonts w:cs="Arial"/>
                <w:bCs/>
                <w:i/>
                <w:iCs/>
                <w:color w:val="222222"/>
              </w:rPr>
            </w:pPr>
            <w:r w:rsidRPr="00634E43">
              <w:rPr>
                <w:i/>
                <w:iCs/>
                <w:lang w:eastAsia="en-GB"/>
              </w:rPr>
              <w:t xml:space="preserve">All prices quoted </w:t>
            </w:r>
            <w:r w:rsidRPr="00411661">
              <w:rPr>
                <w:b/>
                <w:bCs/>
                <w:i/>
                <w:iCs/>
                <w:lang w:eastAsia="en-GB"/>
              </w:rPr>
              <w:t>do not</w:t>
            </w:r>
            <w:r>
              <w:rPr>
                <w:i/>
                <w:iCs/>
                <w:lang w:eastAsia="en-GB"/>
              </w:rPr>
              <w:t xml:space="preserve"> include VAT</w:t>
            </w:r>
            <w:r w:rsidR="00212BC4">
              <w:rPr>
                <w:i/>
                <w:iCs/>
                <w:lang w:eastAsia="en-GB"/>
              </w:rPr>
              <w:t xml:space="preserve"> which will be charged at the prevailing rate. </w:t>
            </w:r>
            <w:r w:rsidRPr="00634E43">
              <w:rPr>
                <w:rStyle w:val="tgc"/>
                <w:rFonts w:cs="Arial"/>
                <w:bCs/>
                <w:i/>
                <w:iCs/>
                <w:color w:val="222222"/>
              </w:rPr>
              <w:t xml:space="preserve"> </w:t>
            </w:r>
          </w:p>
          <w:p w14:paraId="01513217" w14:textId="49C735BA" w:rsidR="00634E43" w:rsidRDefault="00634E43" w:rsidP="008609BD">
            <w:pPr>
              <w:rPr>
                <w:lang w:eastAsia="en-GB"/>
              </w:rPr>
            </w:pPr>
          </w:p>
        </w:tc>
      </w:tr>
      <w:tr w:rsidR="00510151" w14:paraId="177CC7B7" w14:textId="77777777" w:rsidTr="007B4E1C">
        <w:tc>
          <w:tcPr>
            <w:tcW w:w="1508" w:type="dxa"/>
          </w:tcPr>
          <w:p w14:paraId="2B8120AE" w14:textId="77777777" w:rsidR="00510151" w:rsidRDefault="00510151" w:rsidP="008609BD">
            <w:pPr>
              <w:rPr>
                <w:b/>
                <w:lang w:eastAsia="en-GB"/>
              </w:rPr>
            </w:pPr>
          </w:p>
          <w:p w14:paraId="1B6608C7" w14:textId="77777777" w:rsidR="00510151" w:rsidRDefault="00510151" w:rsidP="008609BD">
            <w:pPr>
              <w:rPr>
                <w:b/>
                <w:lang w:eastAsia="en-GB"/>
              </w:rPr>
            </w:pPr>
          </w:p>
          <w:p w14:paraId="346B7EB4" w14:textId="77777777" w:rsidR="00510151" w:rsidRPr="004F622E" w:rsidRDefault="00510151" w:rsidP="00510151">
            <w:pPr>
              <w:rPr>
                <w:b/>
                <w:lang w:eastAsia="en-GB"/>
              </w:rPr>
            </w:pPr>
            <w:r w:rsidRPr="004F622E">
              <w:rPr>
                <w:b/>
                <w:lang w:eastAsia="en-GB"/>
              </w:rPr>
              <w:t>Payment:</w:t>
            </w:r>
          </w:p>
          <w:p w14:paraId="5CEDCF92" w14:textId="13CF8676" w:rsidR="00510151" w:rsidRDefault="00510151" w:rsidP="008609BD">
            <w:pPr>
              <w:rPr>
                <w:b/>
                <w:lang w:eastAsia="en-GB"/>
              </w:rPr>
            </w:pPr>
          </w:p>
        </w:tc>
        <w:tc>
          <w:tcPr>
            <w:tcW w:w="7734" w:type="dxa"/>
            <w:gridSpan w:val="6"/>
          </w:tcPr>
          <w:p w14:paraId="492C5514" w14:textId="687A8D05" w:rsidR="00510151" w:rsidRDefault="00510151" w:rsidP="00510151">
            <w:pPr>
              <w:rPr>
                <w:lang w:eastAsia="en-GB"/>
              </w:rPr>
            </w:pPr>
            <w:r>
              <w:rPr>
                <w:lang w:eastAsia="en-GB"/>
              </w:rPr>
              <w:t xml:space="preserve">We require payment </w:t>
            </w:r>
            <w:r w:rsidRPr="002C1128">
              <w:rPr>
                <w:b/>
                <w:bCs/>
                <w:u w:val="single"/>
                <w:lang w:eastAsia="en-GB"/>
              </w:rPr>
              <w:t>in advance</w:t>
            </w:r>
            <w:r>
              <w:rPr>
                <w:lang w:eastAsia="en-GB"/>
              </w:rPr>
              <w:t xml:space="preserve"> of </w:t>
            </w:r>
            <w:r w:rsidR="002C1128">
              <w:rPr>
                <w:lang w:eastAsia="en-GB"/>
              </w:rPr>
              <w:t>the scheduled audit activity</w:t>
            </w:r>
            <w:r>
              <w:rPr>
                <w:lang w:eastAsia="en-GB"/>
              </w:rPr>
              <w:t xml:space="preserve">.  Upon receipt of your application, an invoice will be sent to </w:t>
            </w:r>
            <w:proofErr w:type="gramStart"/>
            <w:r>
              <w:rPr>
                <w:lang w:eastAsia="en-GB"/>
              </w:rPr>
              <w:t>you</w:t>
            </w:r>
            <w:proofErr w:type="gramEnd"/>
            <w:r>
              <w:rPr>
                <w:lang w:eastAsia="en-GB"/>
              </w:rPr>
              <w:t xml:space="preserve"> and audit costs will be calculated based upon the information that has been declared within your completed application</w:t>
            </w:r>
            <w:r w:rsidR="00CF5FA9">
              <w:rPr>
                <w:lang w:eastAsia="en-GB"/>
              </w:rPr>
              <w:t xml:space="preserve"> form</w:t>
            </w:r>
            <w:r>
              <w:rPr>
                <w:lang w:eastAsia="en-GB"/>
              </w:rPr>
              <w:t xml:space="preserve">. </w:t>
            </w:r>
            <w:r w:rsidR="008A2722">
              <w:rPr>
                <w:lang w:eastAsia="en-GB"/>
              </w:rPr>
              <w:t xml:space="preserve">Should additional information come to light during the audit planning </w:t>
            </w:r>
            <w:r w:rsidR="00CF5FA9">
              <w:rPr>
                <w:lang w:eastAsia="en-GB"/>
              </w:rPr>
              <w:t>phase that results in a change to</w:t>
            </w:r>
            <w:r w:rsidR="008A2722">
              <w:rPr>
                <w:lang w:eastAsia="en-GB"/>
              </w:rPr>
              <w:t xml:space="preserve"> the ‘scope’ of the audit, a revised invoice will be issued. </w:t>
            </w:r>
          </w:p>
          <w:p w14:paraId="44C8B48F" w14:textId="77777777" w:rsidR="00510151" w:rsidRDefault="00510151" w:rsidP="00510151">
            <w:pPr>
              <w:rPr>
                <w:lang w:eastAsia="en-GB"/>
              </w:rPr>
            </w:pPr>
          </w:p>
          <w:p w14:paraId="4F4337F3" w14:textId="73B2A1A8" w:rsidR="001970AF" w:rsidRDefault="005F08E1" w:rsidP="005F08E1">
            <w:pPr>
              <w:rPr>
                <w:lang w:eastAsia="en-GB"/>
              </w:rPr>
            </w:pPr>
            <w:r>
              <w:rPr>
                <w:lang w:eastAsia="en-GB"/>
              </w:rPr>
              <w:t>W</w:t>
            </w:r>
            <w:r w:rsidRPr="002028F1">
              <w:rPr>
                <w:rFonts w:cs="Calibri"/>
                <w:lang w:eastAsia="en-GB"/>
              </w:rPr>
              <w:t xml:space="preserve">e reserve the right to cancel an arranged audit </w:t>
            </w:r>
            <w:proofErr w:type="gramStart"/>
            <w:r w:rsidRPr="002028F1">
              <w:rPr>
                <w:rFonts w:cs="Calibri"/>
                <w:lang w:eastAsia="en-GB"/>
              </w:rPr>
              <w:t>in the event that</w:t>
            </w:r>
            <w:proofErr w:type="gramEnd"/>
            <w:r w:rsidRPr="002028F1">
              <w:rPr>
                <w:rFonts w:cs="Calibri"/>
                <w:lang w:eastAsia="en-GB"/>
              </w:rPr>
              <w:t xml:space="preserve"> the audit fee remains unpaid</w:t>
            </w:r>
            <w:r>
              <w:rPr>
                <w:rFonts w:cs="Calibri"/>
                <w:lang w:eastAsia="en-GB"/>
              </w:rPr>
              <w:t xml:space="preserve"> in the 48 hours prior to audit commencement. </w:t>
            </w:r>
            <w:r w:rsidRPr="002028F1">
              <w:rPr>
                <w:rFonts w:cs="Calibri"/>
                <w:lang w:eastAsia="en-GB"/>
              </w:rPr>
              <w:t xml:space="preserve"> </w:t>
            </w:r>
            <w:r>
              <w:rPr>
                <w:lang w:eastAsia="en-GB"/>
              </w:rPr>
              <w:t>Please refer to our separate Terms and Conditions for further details.</w:t>
            </w:r>
          </w:p>
          <w:p w14:paraId="2A40EACF" w14:textId="77777777" w:rsidR="00510151" w:rsidRDefault="00510151" w:rsidP="008609BD">
            <w:pPr>
              <w:rPr>
                <w:lang w:eastAsia="en-GB"/>
              </w:rPr>
            </w:pPr>
          </w:p>
        </w:tc>
      </w:tr>
      <w:tr w:rsidR="00460A78" w14:paraId="2BD8F28B" w14:textId="77777777" w:rsidTr="007B4E1C">
        <w:tc>
          <w:tcPr>
            <w:tcW w:w="1508" w:type="dxa"/>
          </w:tcPr>
          <w:p w14:paraId="1C55C3A9" w14:textId="20CA6CB1" w:rsidR="00460A78" w:rsidRDefault="00460A78" w:rsidP="008609BD">
            <w:pPr>
              <w:rPr>
                <w:b/>
                <w:lang w:eastAsia="en-GB"/>
              </w:rPr>
            </w:pPr>
            <w:r>
              <w:rPr>
                <w:b/>
                <w:lang w:eastAsia="en-GB"/>
              </w:rPr>
              <w:t>New Applicants:</w:t>
            </w:r>
          </w:p>
        </w:tc>
        <w:tc>
          <w:tcPr>
            <w:tcW w:w="7734" w:type="dxa"/>
            <w:gridSpan w:val="6"/>
          </w:tcPr>
          <w:p w14:paraId="00C6B21A" w14:textId="77777777" w:rsidR="00460A78" w:rsidRDefault="00460A78" w:rsidP="008609BD">
            <w:pPr>
              <w:rPr>
                <w:lang w:eastAsia="en-GB"/>
              </w:rPr>
            </w:pPr>
            <w:r>
              <w:rPr>
                <w:lang w:eastAsia="en-GB"/>
              </w:rPr>
              <w:t>For new applicants, findings of the desktop audit including the formal audit report, will not be released until payment has been received in full.</w:t>
            </w:r>
          </w:p>
          <w:p w14:paraId="7FB5061D" w14:textId="77777777" w:rsidR="00460A78" w:rsidRDefault="00460A78" w:rsidP="008609BD">
            <w:pPr>
              <w:rPr>
                <w:lang w:eastAsia="en-GB"/>
              </w:rPr>
            </w:pPr>
          </w:p>
          <w:p w14:paraId="213FE8F6" w14:textId="303E3277" w:rsidR="00460A78" w:rsidRDefault="00A6124D" w:rsidP="008609BD">
            <w:pPr>
              <w:rPr>
                <w:lang w:eastAsia="en-GB"/>
              </w:rPr>
            </w:pPr>
            <w:r>
              <w:rPr>
                <w:lang w:eastAsia="en-GB"/>
              </w:rPr>
              <w:t xml:space="preserve">The desktop application process does not provide for any period of corrective action and is a pass/fail interaction. </w:t>
            </w:r>
            <w:r w:rsidR="00BF596D">
              <w:rPr>
                <w:lang w:eastAsia="en-GB"/>
              </w:rPr>
              <w:t>Where</w:t>
            </w:r>
            <w:r w:rsidR="00460A78">
              <w:rPr>
                <w:lang w:eastAsia="en-GB"/>
              </w:rPr>
              <w:t xml:space="preserve"> the outcome of the desktop audit is ‘Premature Application’</w:t>
            </w:r>
            <w:r w:rsidR="00BF596D">
              <w:rPr>
                <w:lang w:eastAsia="en-GB"/>
              </w:rPr>
              <w:t xml:space="preserve">, </w:t>
            </w:r>
            <w:r w:rsidR="000E662E">
              <w:rPr>
                <w:lang w:eastAsia="en-GB"/>
              </w:rPr>
              <w:t xml:space="preserve">legal service providers will be invited to reapply within a timeframe determined </w:t>
            </w:r>
            <w:r w:rsidR="00B32523">
              <w:rPr>
                <w:lang w:eastAsia="en-GB"/>
              </w:rPr>
              <w:t xml:space="preserve">directly </w:t>
            </w:r>
            <w:r w:rsidR="000E662E">
              <w:rPr>
                <w:lang w:eastAsia="en-GB"/>
              </w:rPr>
              <w:t xml:space="preserve">by them. </w:t>
            </w:r>
            <w:r>
              <w:rPr>
                <w:lang w:eastAsia="en-GB"/>
              </w:rPr>
              <w:t xml:space="preserve">Each application is treated as a standalone application, with a new Auditor appointed. </w:t>
            </w:r>
            <w:r w:rsidR="000E662E">
              <w:rPr>
                <w:lang w:eastAsia="en-GB"/>
              </w:rPr>
              <w:t xml:space="preserve">Repeat applications for a desktop audit will </w:t>
            </w:r>
            <w:r w:rsidR="00851CE6">
              <w:rPr>
                <w:lang w:eastAsia="en-GB"/>
              </w:rPr>
              <w:t xml:space="preserve">therefore </w:t>
            </w:r>
            <w:r w:rsidR="000E662E">
              <w:rPr>
                <w:lang w:eastAsia="en-GB"/>
              </w:rPr>
              <w:t xml:space="preserve">incur </w:t>
            </w:r>
            <w:r w:rsidR="006D117A">
              <w:rPr>
                <w:lang w:eastAsia="en-GB"/>
              </w:rPr>
              <w:t>additional fees, as per the fee</w:t>
            </w:r>
            <w:r w:rsidR="00B32523">
              <w:rPr>
                <w:lang w:eastAsia="en-GB"/>
              </w:rPr>
              <w:t xml:space="preserve"> structure</w:t>
            </w:r>
            <w:r w:rsidR="006D117A">
              <w:rPr>
                <w:lang w:eastAsia="en-GB"/>
              </w:rPr>
              <w:t xml:space="preserve"> quoted above. </w:t>
            </w:r>
          </w:p>
        </w:tc>
      </w:tr>
      <w:tr w:rsidR="008609BD" w14:paraId="5B9BBBFB" w14:textId="77777777" w:rsidTr="007B4E1C">
        <w:tc>
          <w:tcPr>
            <w:tcW w:w="1508" w:type="dxa"/>
          </w:tcPr>
          <w:p w14:paraId="794FB9A9" w14:textId="77777777" w:rsidR="008609BD" w:rsidRDefault="008609BD" w:rsidP="008609BD">
            <w:pPr>
              <w:rPr>
                <w:b/>
                <w:lang w:eastAsia="en-GB"/>
              </w:rPr>
            </w:pPr>
          </w:p>
          <w:p w14:paraId="6F33C685" w14:textId="15911141" w:rsidR="008609BD" w:rsidRDefault="008609BD" w:rsidP="008609BD">
            <w:pPr>
              <w:rPr>
                <w:b/>
                <w:lang w:eastAsia="en-GB"/>
              </w:rPr>
            </w:pPr>
            <w:r>
              <w:rPr>
                <w:b/>
                <w:lang w:eastAsia="en-GB"/>
              </w:rPr>
              <w:t xml:space="preserve">Expenses: </w:t>
            </w:r>
          </w:p>
        </w:tc>
        <w:tc>
          <w:tcPr>
            <w:tcW w:w="7734" w:type="dxa"/>
            <w:gridSpan w:val="6"/>
          </w:tcPr>
          <w:p w14:paraId="029A6EB3" w14:textId="77777777" w:rsidR="008609BD" w:rsidRDefault="008609BD" w:rsidP="008609BD">
            <w:pPr>
              <w:rPr>
                <w:lang w:eastAsia="en-GB"/>
              </w:rPr>
            </w:pPr>
          </w:p>
          <w:p w14:paraId="79958232" w14:textId="77777777" w:rsidR="008609BD" w:rsidRDefault="008609BD" w:rsidP="008609BD">
            <w:pPr>
              <w:rPr>
                <w:lang w:eastAsia="en-GB"/>
              </w:rPr>
            </w:pPr>
            <w:r>
              <w:rPr>
                <w:lang w:eastAsia="en-GB"/>
              </w:rPr>
              <w:t>No additional expenses will be charged on top of the audit fees stated above</w:t>
            </w:r>
          </w:p>
          <w:p w14:paraId="27CD99C6" w14:textId="77777777" w:rsidR="008609BD" w:rsidRDefault="008609BD" w:rsidP="008609BD">
            <w:pPr>
              <w:rPr>
                <w:lang w:eastAsia="en-GB"/>
              </w:rPr>
            </w:pPr>
          </w:p>
          <w:p w14:paraId="1CE2D9BB" w14:textId="77777777" w:rsidR="008609BD" w:rsidRDefault="008609BD" w:rsidP="008609BD">
            <w:pPr>
              <w:rPr>
                <w:lang w:eastAsia="en-GB"/>
              </w:rPr>
            </w:pPr>
          </w:p>
          <w:p w14:paraId="16164825" w14:textId="77777777" w:rsidR="00851CE6" w:rsidRDefault="00851CE6" w:rsidP="008609BD">
            <w:pPr>
              <w:rPr>
                <w:lang w:eastAsia="en-GB"/>
              </w:rPr>
            </w:pPr>
          </w:p>
          <w:p w14:paraId="28AB170B" w14:textId="77777777" w:rsidR="00851CE6" w:rsidRDefault="00851CE6" w:rsidP="008609BD">
            <w:pPr>
              <w:rPr>
                <w:lang w:eastAsia="en-GB"/>
              </w:rPr>
            </w:pPr>
          </w:p>
          <w:p w14:paraId="571BABD4" w14:textId="6FA0B05A" w:rsidR="00851CE6" w:rsidRPr="00994CE4" w:rsidRDefault="00851CE6" w:rsidP="008609BD">
            <w:pPr>
              <w:rPr>
                <w:lang w:eastAsia="en-GB"/>
              </w:rPr>
            </w:pPr>
          </w:p>
        </w:tc>
      </w:tr>
      <w:tr w:rsidR="009469FB" w14:paraId="38763E84" w14:textId="77777777" w:rsidTr="007B4E1C">
        <w:tc>
          <w:tcPr>
            <w:tcW w:w="1508" w:type="dxa"/>
          </w:tcPr>
          <w:p w14:paraId="681CDE35" w14:textId="77777777" w:rsidR="009469FB" w:rsidRDefault="009469FB" w:rsidP="001857E9">
            <w:pPr>
              <w:rPr>
                <w:b/>
                <w:lang w:eastAsia="en-GB"/>
              </w:rPr>
            </w:pPr>
          </w:p>
          <w:p w14:paraId="36858CE4" w14:textId="6951762F" w:rsidR="009469FB" w:rsidRDefault="009469FB" w:rsidP="001857E9">
            <w:pPr>
              <w:rPr>
                <w:b/>
                <w:lang w:eastAsia="en-GB"/>
              </w:rPr>
            </w:pPr>
            <w:r w:rsidRPr="009469FB">
              <w:rPr>
                <w:b/>
                <w:bCs/>
                <w:lang w:eastAsia="en-GB"/>
              </w:rPr>
              <w:t>Early Bird Discount</w:t>
            </w:r>
            <w:r>
              <w:rPr>
                <w:b/>
                <w:bCs/>
                <w:lang w:eastAsia="en-GB"/>
              </w:rPr>
              <w:t>:</w:t>
            </w:r>
          </w:p>
        </w:tc>
        <w:tc>
          <w:tcPr>
            <w:tcW w:w="7734" w:type="dxa"/>
            <w:gridSpan w:val="6"/>
          </w:tcPr>
          <w:p w14:paraId="2FEB8BDD" w14:textId="77777777" w:rsidR="002751C0" w:rsidRDefault="003C2428" w:rsidP="009469FB">
            <w:pPr>
              <w:rPr>
                <w:lang w:eastAsia="en-GB"/>
              </w:rPr>
            </w:pPr>
            <w:r>
              <w:rPr>
                <w:lang w:eastAsia="en-GB"/>
              </w:rPr>
              <w:t>Requests for an audit receive</w:t>
            </w:r>
            <w:r w:rsidR="002751C0">
              <w:rPr>
                <w:lang w:eastAsia="en-GB"/>
              </w:rPr>
              <w:t xml:space="preserve">d: </w:t>
            </w:r>
          </w:p>
          <w:p w14:paraId="0F9FC9F8" w14:textId="77777777" w:rsidR="002751C0" w:rsidRDefault="008B1E7E" w:rsidP="009469FB">
            <w:pPr>
              <w:rPr>
                <w:lang w:eastAsia="en-GB"/>
              </w:rPr>
            </w:pPr>
            <w:r w:rsidRPr="002751C0">
              <w:rPr>
                <w:lang w:eastAsia="en-GB"/>
              </w:rPr>
              <w:t>(a)</w:t>
            </w:r>
            <w:r>
              <w:rPr>
                <w:lang w:eastAsia="en-GB"/>
              </w:rPr>
              <w:t xml:space="preserve"> </w:t>
            </w:r>
            <w:r w:rsidR="005F0270" w:rsidRPr="00C87A20">
              <w:rPr>
                <w:b/>
                <w:bCs/>
                <w:lang w:eastAsia="en-GB"/>
              </w:rPr>
              <w:t>5 months</w:t>
            </w:r>
            <w:r w:rsidR="005F0270">
              <w:rPr>
                <w:lang w:eastAsia="en-GB"/>
              </w:rPr>
              <w:t xml:space="preserve"> </w:t>
            </w:r>
            <w:r w:rsidR="005F0270" w:rsidRPr="00C87A20">
              <w:rPr>
                <w:b/>
                <w:bCs/>
                <w:lang w:eastAsia="en-GB"/>
              </w:rPr>
              <w:t>prior</w:t>
            </w:r>
            <w:r>
              <w:rPr>
                <w:b/>
                <w:bCs/>
                <w:lang w:eastAsia="en-GB"/>
              </w:rPr>
              <w:t xml:space="preserve"> </w:t>
            </w:r>
            <w:r w:rsidR="005F0270">
              <w:rPr>
                <w:lang w:eastAsia="en-GB"/>
              </w:rPr>
              <w:t xml:space="preserve">to the expiry date of a current accreditation certificate, </w:t>
            </w:r>
            <w:r w:rsidR="005F0270" w:rsidRPr="002D6626">
              <w:rPr>
                <w:b/>
                <w:bCs/>
                <w:u w:val="single"/>
                <w:lang w:eastAsia="en-GB"/>
              </w:rPr>
              <w:t>and</w:t>
            </w:r>
            <w:r w:rsidR="005F0270">
              <w:rPr>
                <w:lang w:eastAsia="en-GB"/>
              </w:rPr>
              <w:t xml:space="preserve"> </w:t>
            </w:r>
          </w:p>
          <w:p w14:paraId="154F7391" w14:textId="77777777" w:rsidR="002751C0" w:rsidRDefault="008B1E7E" w:rsidP="009469FB">
            <w:pPr>
              <w:rPr>
                <w:lang w:eastAsia="en-GB"/>
              </w:rPr>
            </w:pPr>
            <w:r>
              <w:rPr>
                <w:lang w:eastAsia="en-GB"/>
              </w:rPr>
              <w:t xml:space="preserve">(b) </w:t>
            </w:r>
            <w:r w:rsidR="005F0270">
              <w:rPr>
                <w:lang w:eastAsia="en-GB"/>
              </w:rPr>
              <w:t xml:space="preserve">where the audit takes place within a period of </w:t>
            </w:r>
            <w:r w:rsidR="005F0270" w:rsidRPr="00506463">
              <w:rPr>
                <w:b/>
                <w:bCs/>
                <w:lang w:eastAsia="en-GB"/>
              </w:rPr>
              <w:t>6 weeks</w:t>
            </w:r>
            <w:r w:rsidR="005F0270">
              <w:rPr>
                <w:lang w:eastAsia="en-GB"/>
              </w:rPr>
              <w:t xml:space="preserve"> from the date of the application,</w:t>
            </w:r>
          </w:p>
          <w:p w14:paraId="4F30CE63" w14:textId="77777777" w:rsidR="00DA043F" w:rsidRDefault="00506463" w:rsidP="009469FB">
            <w:pPr>
              <w:rPr>
                <w:lang w:eastAsia="en-GB"/>
              </w:rPr>
            </w:pPr>
            <w:r>
              <w:rPr>
                <w:lang w:eastAsia="en-GB"/>
              </w:rPr>
              <w:t>will attract an</w:t>
            </w:r>
            <w:r w:rsidR="005F0270">
              <w:rPr>
                <w:lang w:eastAsia="en-GB"/>
              </w:rPr>
              <w:t xml:space="preserve"> Early Bird Discount of</w:t>
            </w:r>
            <w:r w:rsidR="00AD5AF1">
              <w:rPr>
                <w:lang w:eastAsia="en-GB"/>
              </w:rPr>
              <w:t xml:space="preserve"> 5%</w:t>
            </w:r>
            <w:r w:rsidR="005E4665">
              <w:rPr>
                <w:lang w:eastAsia="en-GB"/>
              </w:rPr>
              <w:t>,</w:t>
            </w:r>
            <w:r w:rsidR="00AD5AF1">
              <w:rPr>
                <w:lang w:eastAsia="en-GB"/>
              </w:rPr>
              <w:t xml:space="preserve"> applied to the total audit fee. </w:t>
            </w:r>
          </w:p>
          <w:p w14:paraId="570F8409" w14:textId="0CB32220" w:rsidR="009469FB" w:rsidRDefault="00C8496D" w:rsidP="009469FB">
            <w:pPr>
              <w:rPr>
                <w:lang w:eastAsia="en-GB"/>
              </w:rPr>
            </w:pPr>
            <w:r>
              <w:rPr>
                <w:lang w:eastAsia="en-GB"/>
              </w:rPr>
              <w:t>A refund to the value of the 5% discount</w:t>
            </w:r>
            <w:r w:rsidR="007C6879">
              <w:rPr>
                <w:lang w:eastAsia="en-GB"/>
              </w:rPr>
              <w:t xml:space="preserve"> will be issued following completion of the audit</w:t>
            </w:r>
            <w:r w:rsidR="00802C26">
              <w:rPr>
                <w:lang w:eastAsia="en-GB"/>
              </w:rPr>
              <w:t xml:space="preserve"> where points a and b above are </w:t>
            </w:r>
            <w:r w:rsidR="007E70D5">
              <w:rPr>
                <w:lang w:eastAsia="en-GB"/>
              </w:rPr>
              <w:t xml:space="preserve">both </w:t>
            </w:r>
            <w:r w:rsidR="00802C26">
              <w:rPr>
                <w:lang w:eastAsia="en-GB"/>
              </w:rPr>
              <w:t xml:space="preserve">met. </w:t>
            </w:r>
          </w:p>
          <w:p w14:paraId="7069AAEB" w14:textId="77777777" w:rsidR="007B557D" w:rsidRDefault="007B557D" w:rsidP="009469FB">
            <w:pPr>
              <w:rPr>
                <w:lang w:eastAsia="en-GB"/>
              </w:rPr>
            </w:pPr>
          </w:p>
          <w:p w14:paraId="3C24725C" w14:textId="76880DEC" w:rsidR="007B557D" w:rsidRDefault="007B557D" w:rsidP="009469FB">
            <w:pPr>
              <w:rPr>
                <w:lang w:eastAsia="en-GB"/>
              </w:rPr>
            </w:pPr>
            <w:r w:rsidRPr="001F54DA">
              <w:rPr>
                <w:b/>
                <w:bCs/>
                <w:u w:val="single"/>
                <w:lang w:eastAsia="en-GB"/>
              </w:rPr>
              <w:t>Note:</w:t>
            </w:r>
            <w:r>
              <w:rPr>
                <w:lang w:eastAsia="en-GB"/>
              </w:rPr>
              <w:t xml:space="preserve"> Where the audit does not take place within 6 weeks of</w:t>
            </w:r>
            <w:r w:rsidR="00CE1DE3">
              <w:rPr>
                <w:lang w:eastAsia="en-GB"/>
              </w:rPr>
              <w:t xml:space="preserve"> the</w:t>
            </w:r>
            <w:r>
              <w:rPr>
                <w:lang w:eastAsia="en-GB"/>
              </w:rPr>
              <w:t xml:space="preserve"> </w:t>
            </w:r>
            <w:r w:rsidR="00CE1DE3">
              <w:rPr>
                <w:lang w:eastAsia="en-GB"/>
              </w:rPr>
              <w:t>application date</w:t>
            </w:r>
            <w:r w:rsidR="007E70D5">
              <w:rPr>
                <w:lang w:eastAsia="en-GB"/>
              </w:rPr>
              <w:t xml:space="preserve">, either due to the applicant provider </w:t>
            </w:r>
            <w:r w:rsidR="00C23D0D">
              <w:rPr>
                <w:lang w:eastAsia="en-GB"/>
              </w:rPr>
              <w:t>requesting an audit date outside of the 6</w:t>
            </w:r>
            <w:r w:rsidR="00DA043F">
              <w:rPr>
                <w:lang w:eastAsia="en-GB"/>
              </w:rPr>
              <w:t>-</w:t>
            </w:r>
            <w:r w:rsidR="00C23D0D">
              <w:rPr>
                <w:lang w:eastAsia="en-GB"/>
              </w:rPr>
              <w:t>week timeframe, failing to agree</w:t>
            </w:r>
            <w:r w:rsidR="001F54DA">
              <w:rPr>
                <w:lang w:eastAsia="en-GB"/>
              </w:rPr>
              <w:t xml:space="preserve"> to</w:t>
            </w:r>
            <w:r w:rsidR="00C23D0D">
              <w:rPr>
                <w:lang w:eastAsia="en-GB"/>
              </w:rPr>
              <w:t xml:space="preserve"> an audit date</w:t>
            </w:r>
            <w:r w:rsidR="001F54DA">
              <w:rPr>
                <w:lang w:eastAsia="en-GB"/>
              </w:rPr>
              <w:t xml:space="preserve"> offered</w:t>
            </w:r>
            <w:r w:rsidR="00C23D0D">
              <w:rPr>
                <w:lang w:eastAsia="en-GB"/>
              </w:rPr>
              <w:t xml:space="preserve">, or requesting a delay/postponement, </w:t>
            </w:r>
            <w:r w:rsidR="001F54DA">
              <w:rPr>
                <w:lang w:eastAsia="en-GB"/>
              </w:rPr>
              <w:t xml:space="preserve">the early bird discount </w:t>
            </w:r>
            <w:r w:rsidR="001F54DA" w:rsidRPr="00E16D6B">
              <w:rPr>
                <w:b/>
                <w:bCs/>
                <w:lang w:eastAsia="en-GB"/>
              </w:rPr>
              <w:t>will not</w:t>
            </w:r>
            <w:r w:rsidR="001F54DA">
              <w:rPr>
                <w:lang w:eastAsia="en-GB"/>
              </w:rPr>
              <w:t xml:space="preserve"> be applied.</w:t>
            </w:r>
          </w:p>
          <w:p w14:paraId="0B8ED7E5" w14:textId="77777777" w:rsidR="00EC08AA" w:rsidRDefault="00EC08AA" w:rsidP="009469FB">
            <w:pPr>
              <w:rPr>
                <w:lang w:eastAsia="en-GB"/>
              </w:rPr>
            </w:pPr>
          </w:p>
          <w:p w14:paraId="342A9228" w14:textId="12BA415D" w:rsidR="006366FC" w:rsidRDefault="00EC08AA" w:rsidP="006366FC">
            <w:pPr>
              <w:jc w:val="both"/>
            </w:pPr>
            <w:r>
              <w:rPr>
                <w:lang w:eastAsia="en-GB"/>
              </w:rPr>
              <w:t xml:space="preserve">It should be noted that Recognising Excellence is not able to pre or </w:t>
            </w:r>
            <w:proofErr w:type="spellStart"/>
            <w:r>
              <w:rPr>
                <w:lang w:eastAsia="en-GB"/>
              </w:rPr>
              <w:t>post date</w:t>
            </w:r>
            <w:proofErr w:type="spellEnd"/>
            <w:r>
              <w:rPr>
                <w:lang w:eastAsia="en-GB"/>
              </w:rPr>
              <w:t xml:space="preserve"> accreditation certificates. </w:t>
            </w:r>
            <w:r w:rsidRPr="006366FC">
              <w:rPr>
                <w:lang w:eastAsia="en-GB"/>
              </w:rPr>
              <w:t>Certificates are therefore dated</w:t>
            </w:r>
            <w:r w:rsidR="00C7312E" w:rsidRPr="006366FC">
              <w:rPr>
                <w:lang w:eastAsia="en-GB"/>
              </w:rPr>
              <w:t xml:space="preserve"> </w:t>
            </w:r>
            <w:r w:rsidR="006366FC" w:rsidRPr="006366FC">
              <w:t>according to when the current audit has completed (including any period of corrective action</w:t>
            </w:r>
            <w:r w:rsidR="006366FC">
              <w:t xml:space="preserve">). </w:t>
            </w:r>
            <w:r w:rsidR="002B0183">
              <w:t>Where audits take place earlier than the expiry date of the current certificate, this will result in</w:t>
            </w:r>
            <w:r w:rsidR="00C959BD">
              <w:t xml:space="preserve"> an overall reduction of time on the current accreditation certificate.</w:t>
            </w:r>
          </w:p>
          <w:p w14:paraId="14D60A92" w14:textId="77777777" w:rsidR="00A02D9B" w:rsidRDefault="00A02D9B" w:rsidP="006366FC">
            <w:pPr>
              <w:jc w:val="both"/>
            </w:pPr>
          </w:p>
          <w:p w14:paraId="20A5742E" w14:textId="1DF72F29" w:rsidR="00C959BD" w:rsidRDefault="00C959BD" w:rsidP="006366FC">
            <w:pPr>
              <w:jc w:val="both"/>
            </w:pPr>
            <w:r>
              <w:t>A worked example of this is as follows:</w:t>
            </w:r>
          </w:p>
          <w:p w14:paraId="30C2FC84" w14:textId="3943F09F" w:rsidR="00C959BD" w:rsidRDefault="00C959BD" w:rsidP="00C959BD">
            <w:pPr>
              <w:pStyle w:val="ListParagraph"/>
              <w:numPr>
                <w:ilvl w:val="0"/>
                <w:numId w:val="2"/>
              </w:numPr>
              <w:rPr>
                <w:rFonts w:eastAsia="Times New Roman"/>
              </w:rPr>
            </w:pPr>
            <w:r>
              <w:rPr>
                <w:rFonts w:eastAsia="Times New Roman"/>
              </w:rPr>
              <w:t>Current certificate ends on 1 December</w:t>
            </w:r>
          </w:p>
          <w:p w14:paraId="435E2181" w14:textId="04B5B5D1" w:rsidR="00C959BD" w:rsidRDefault="00C959BD" w:rsidP="00C959BD">
            <w:pPr>
              <w:pStyle w:val="ListParagraph"/>
              <w:numPr>
                <w:ilvl w:val="0"/>
                <w:numId w:val="2"/>
              </w:numPr>
              <w:rPr>
                <w:rFonts w:eastAsia="Times New Roman"/>
              </w:rPr>
            </w:pPr>
            <w:r>
              <w:rPr>
                <w:rFonts w:eastAsia="Times New Roman"/>
              </w:rPr>
              <w:t xml:space="preserve">Audit </w:t>
            </w:r>
            <w:r w:rsidR="00A02D9B">
              <w:rPr>
                <w:rFonts w:eastAsia="Times New Roman"/>
              </w:rPr>
              <w:t xml:space="preserve">application is received on </w:t>
            </w:r>
            <w:r>
              <w:rPr>
                <w:rFonts w:eastAsia="Times New Roman"/>
              </w:rPr>
              <w:t>1</w:t>
            </w:r>
            <w:r w:rsidR="00EC59CA">
              <w:rPr>
                <w:rFonts w:eastAsia="Times New Roman"/>
              </w:rPr>
              <w:t xml:space="preserve"> July</w:t>
            </w:r>
          </w:p>
          <w:p w14:paraId="0D382BA1" w14:textId="61E236ED" w:rsidR="00C959BD" w:rsidRDefault="00C959BD" w:rsidP="00C959BD">
            <w:pPr>
              <w:pStyle w:val="ListParagraph"/>
              <w:numPr>
                <w:ilvl w:val="0"/>
                <w:numId w:val="2"/>
              </w:numPr>
              <w:rPr>
                <w:rFonts w:eastAsia="Times New Roman"/>
              </w:rPr>
            </w:pPr>
            <w:r>
              <w:rPr>
                <w:rFonts w:eastAsia="Times New Roman"/>
              </w:rPr>
              <w:t xml:space="preserve">Audit must take place within 6 weeks i.e. </w:t>
            </w:r>
            <w:r w:rsidR="00A02D9B">
              <w:rPr>
                <w:rFonts w:eastAsia="Times New Roman"/>
              </w:rPr>
              <w:t xml:space="preserve">no later than </w:t>
            </w:r>
            <w:r w:rsidR="00400ED0">
              <w:rPr>
                <w:rFonts w:eastAsia="Times New Roman"/>
              </w:rPr>
              <w:t>12</w:t>
            </w:r>
            <w:r w:rsidR="00400ED0" w:rsidRPr="00400ED0">
              <w:rPr>
                <w:rFonts w:eastAsia="Times New Roman"/>
                <w:vertAlign w:val="superscript"/>
              </w:rPr>
              <w:t>th</w:t>
            </w:r>
            <w:r w:rsidR="00400ED0">
              <w:rPr>
                <w:rFonts w:eastAsia="Times New Roman"/>
              </w:rPr>
              <w:t xml:space="preserve"> August</w:t>
            </w:r>
          </w:p>
          <w:p w14:paraId="72F5EADF" w14:textId="77777777" w:rsidR="00D744A9" w:rsidRPr="00A02D9B" w:rsidRDefault="00D744A9" w:rsidP="00D744A9">
            <w:pPr>
              <w:pStyle w:val="ListParagraph"/>
              <w:numPr>
                <w:ilvl w:val="0"/>
                <w:numId w:val="2"/>
              </w:numPr>
              <w:rPr>
                <w:rFonts w:eastAsia="Times New Roman"/>
              </w:rPr>
            </w:pPr>
            <w:r w:rsidRPr="00A02D9B">
              <w:rPr>
                <w:rFonts w:eastAsia="Times New Roman"/>
              </w:rPr>
              <w:t>Application is therefore eligible for Early Bird Discount</w:t>
            </w:r>
          </w:p>
          <w:p w14:paraId="747A4798" w14:textId="1BA37D0F" w:rsidR="00D45199" w:rsidRDefault="0025510D" w:rsidP="00C959BD">
            <w:pPr>
              <w:pStyle w:val="ListParagraph"/>
              <w:numPr>
                <w:ilvl w:val="0"/>
                <w:numId w:val="2"/>
              </w:numPr>
              <w:rPr>
                <w:rFonts w:eastAsia="Times New Roman"/>
              </w:rPr>
            </w:pPr>
            <w:r>
              <w:rPr>
                <w:rFonts w:eastAsia="Times New Roman"/>
              </w:rPr>
              <w:t xml:space="preserve">Assuming full report writing (5 days) corrective action period (28-days) is utilised, new accreditation certificate will be dated </w:t>
            </w:r>
            <w:r w:rsidR="005C05CA">
              <w:rPr>
                <w:rFonts w:eastAsia="Times New Roman"/>
              </w:rPr>
              <w:t>9</w:t>
            </w:r>
            <w:r>
              <w:rPr>
                <w:rFonts w:eastAsia="Times New Roman"/>
                <w:vertAlign w:val="superscript"/>
              </w:rPr>
              <w:t>th</w:t>
            </w:r>
            <w:r>
              <w:rPr>
                <w:rFonts w:eastAsia="Times New Roman"/>
              </w:rPr>
              <w:t xml:space="preserve"> September</w:t>
            </w:r>
          </w:p>
          <w:p w14:paraId="5A4EB248" w14:textId="75ED15AC" w:rsidR="001D274B" w:rsidRDefault="0025510D" w:rsidP="001B05B3">
            <w:pPr>
              <w:pStyle w:val="ListParagraph"/>
              <w:numPr>
                <w:ilvl w:val="0"/>
                <w:numId w:val="2"/>
              </w:numPr>
              <w:jc w:val="both"/>
            </w:pPr>
            <w:r w:rsidRPr="00BF4010">
              <w:rPr>
                <w:rFonts w:eastAsia="Times New Roman"/>
              </w:rPr>
              <w:t xml:space="preserve">Period between </w:t>
            </w:r>
            <w:r w:rsidR="005C05CA">
              <w:rPr>
                <w:rFonts w:eastAsia="Times New Roman"/>
              </w:rPr>
              <w:t>9</w:t>
            </w:r>
            <w:r w:rsidRPr="00BF4010">
              <w:rPr>
                <w:rFonts w:eastAsia="Times New Roman"/>
                <w:vertAlign w:val="superscript"/>
              </w:rPr>
              <w:t>th</w:t>
            </w:r>
            <w:r w:rsidRPr="00BF4010">
              <w:rPr>
                <w:rFonts w:eastAsia="Times New Roman"/>
              </w:rPr>
              <w:t xml:space="preserve"> September and previous </w:t>
            </w:r>
            <w:r w:rsidR="008B1E7E" w:rsidRPr="00BF4010">
              <w:rPr>
                <w:rFonts w:eastAsia="Times New Roman"/>
              </w:rPr>
              <w:t>accreditation expiry date of 1</w:t>
            </w:r>
            <w:r w:rsidR="008B1E7E" w:rsidRPr="00BF4010">
              <w:rPr>
                <w:rFonts w:eastAsia="Times New Roman"/>
                <w:vertAlign w:val="superscript"/>
              </w:rPr>
              <w:t>st</w:t>
            </w:r>
            <w:r w:rsidR="008B1E7E" w:rsidRPr="00BF4010">
              <w:rPr>
                <w:rFonts w:eastAsia="Times New Roman"/>
              </w:rPr>
              <w:t xml:space="preserve"> December is lost.</w:t>
            </w:r>
          </w:p>
          <w:p w14:paraId="5DDE6930" w14:textId="2BC2464B" w:rsidR="001D274B" w:rsidRPr="00994CE4" w:rsidRDefault="001D274B" w:rsidP="00C8496D">
            <w:pPr>
              <w:rPr>
                <w:lang w:eastAsia="en-GB"/>
              </w:rPr>
            </w:pPr>
          </w:p>
        </w:tc>
      </w:tr>
      <w:tr w:rsidR="0046417A" w14:paraId="77B15E64" w14:textId="77777777" w:rsidTr="007B4E1C">
        <w:tc>
          <w:tcPr>
            <w:tcW w:w="1508" w:type="dxa"/>
          </w:tcPr>
          <w:p w14:paraId="2C1D6507" w14:textId="68386E3B" w:rsidR="0046417A" w:rsidRDefault="00666BBF" w:rsidP="001857E9">
            <w:pPr>
              <w:rPr>
                <w:b/>
                <w:lang w:eastAsia="en-GB"/>
              </w:rPr>
            </w:pPr>
            <w:r>
              <w:rPr>
                <w:b/>
                <w:lang w:eastAsia="en-GB"/>
              </w:rPr>
              <w:t>Certificates of Accreditation:</w:t>
            </w:r>
          </w:p>
        </w:tc>
        <w:tc>
          <w:tcPr>
            <w:tcW w:w="7734" w:type="dxa"/>
            <w:gridSpan w:val="6"/>
          </w:tcPr>
          <w:p w14:paraId="70333627" w14:textId="34B67BD8" w:rsidR="0046417A" w:rsidRPr="00994CE4" w:rsidRDefault="00666BBF" w:rsidP="001857E9">
            <w:pPr>
              <w:rPr>
                <w:lang w:eastAsia="en-GB"/>
              </w:rPr>
            </w:pPr>
            <w:r>
              <w:rPr>
                <w:lang w:eastAsia="en-GB"/>
              </w:rPr>
              <w:t xml:space="preserve">All SQM certificates of accreditation will be released in electronic format. Where a paper copy is </w:t>
            </w:r>
            <w:r w:rsidR="00130871">
              <w:rPr>
                <w:lang w:eastAsia="en-GB"/>
              </w:rPr>
              <w:t>requested</w:t>
            </w:r>
            <w:r>
              <w:rPr>
                <w:lang w:eastAsia="en-GB"/>
              </w:rPr>
              <w:t>,</w:t>
            </w:r>
            <w:r w:rsidR="00AD2A03">
              <w:rPr>
                <w:lang w:eastAsia="en-GB"/>
              </w:rPr>
              <w:t xml:space="preserve"> an administration fee of £15 will be payable. Requests for a paper certificate should be made to sqm@recognisingexcellence.co.uk</w:t>
            </w:r>
          </w:p>
        </w:tc>
      </w:tr>
      <w:tr w:rsidR="00691824" w14:paraId="53D7DF3F" w14:textId="77777777" w:rsidTr="00E03A66">
        <w:tc>
          <w:tcPr>
            <w:tcW w:w="9242" w:type="dxa"/>
            <w:gridSpan w:val="7"/>
          </w:tcPr>
          <w:p w14:paraId="2B4111B8" w14:textId="77777777" w:rsidR="00691824" w:rsidRDefault="00691824" w:rsidP="00691824">
            <w:pPr>
              <w:rPr>
                <w:lang w:eastAsia="en-GB"/>
              </w:rPr>
            </w:pPr>
          </w:p>
          <w:p w14:paraId="6B0C0EE6" w14:textId="66F6F5D0" w:rsidR="00691824" w:rsidRDefault="00691824" w:rsidP="00691824">
            <w:pPr>
              <w:rPr>
                <w:lang w:eastAsia="en-GB"/>
              </w:rPr>
            </w:pPr>
            <w:r>
              <w:rPr>
                <w:lang w:eastAsia="en-GB"/>
              </w:rPr>
              <w:t>*</w:t>
            </w:r>
            <w:r w:rsidRPr="00691824">
              <w:rPr>
                <w:b/>
                <w:bCs/>
                <w:lang w:eastAsia="en-GB"/>
              </w:rPr>
              <w:t>FTE – Full Time Equivalent</w:t>
            </w:r>
            <w:r>
              <w:rPr>
                <w:lang w:eastAsia="en-GB"/>
              </w:rPr>
              <w:t xml:space="preserve"> staff working under a legal aid contract. This will include Managers, Fee Earners, Support Staff and extend to also include Consultants and Police Station representatives (where appropriate)</w:t>
            </w:r>
          </w:p>
          <w:p w14:paraId="15EA2D48" w14:textId="77777777" w:rsidR="00691824" w:rsidRDefault="00691824" w:rsidP="008609BD">
            <w:pPr>
              <w:rPr>
                <w:lang w:eastAsia="en-GB"/>
              </w:rPr>
            </w:pPr>
          </w:p>
        </w:tc>
      </w:tr>
      <w:tr w:rsidR="003B568C" w14:paraId="39BEB11C" w14:textId="77777777" w:rsidTr="00E03A66">
        <w:tc>
          <w:tcPr>
            <w:tcW w:w="9242" w:type="dxa"/>
            <w:gridSpan w:val="7"/>
          </w:tcPr>
          <w:p w14:paraId="268F1836" w14:textId="77777777" w:rsidR="003B568C" w:rsidRDefault="003B568C" w:rsidP="00691824">
            <w:pPr>
              <w:rPr>
                <w:lang w:eastAsia="en-GB"/>
              </w:rPr>
            </w:pPr>
          </w:p>
          <w:p w14:paraId="784CB5F3" w14:textId="7B0C0E6A" w:rsidR="00856D3C" w:rsidRDefault="003B568C" w:rsidP="00856D3C">
            <w:pPr>
              <w:rPr>
                <w:lang w:eastAsia="en-GB"/>
              </w:rPr>
            </w:pPr>
            <w:r w:rsidRPr="00856D3C">
              <w:rPr>
                <w:b/>
                <w:bCs/>
                <w:lang w:eastAsia="en-GB"/>
              </w:rPr>
              <w:t>Scope of Audit:</w:t>
            </w:r>
            <w:r>
              <w:rPr>
                <w:lang w:eastAsia="en-GB"/>
              </w:rPr>
              <w:t xml:space="preserve"> </w:t>
            </w:r>
            <w:r w:rsidR="00856D3C">
              <w:rPr>
                <w:lang w:eastAsia="en-GB"/>
              </w:rPr>
              <w:t xml:space="preserve">Audit fees stated above include all appropriate planning and preparation time, on-site assessment activity, formal reporting and any period of corrective action that may apply.   Where the </w:t>
            </w:r>
            <w:r w:rsidR="00130871">
              <w:rPr>
                <w:lang w:eastAsia="en-GB"/>
              </w:rPr>
              <w:t xml:space="preserve">legal </w:t>
            </w:r>
            <w:r w:rsidR="00856D3C">
              <w:rPr>
                <w:lang w:eastAsia="en-GB"/>
              </w:rPr>
              <w:t xml:space="preserve">service is delivered from multiple offices, Auditors will be required to visit a representative sample. </w:t>
            </w:r>
          </w:p>
          <w:p w14:paraId="3F403379" w14:textId="77777777" w:rsidR="00856D3C" w:rsidRDefault="00856D3C" w:rsidP="00856D3C">
            <w:pPr>
              <w:rPr>
                <w:lang w:eastAsia="en-GB"/>
              </w:rPr>
            </w:pPr>
          </w:p>
          <w:p w14:paraId="31ED33F3" w14:textId="72C868C1" w:rsidR="00856D3C" w:rsidRDefault="00856D3C" w:rsidP="00856D3C">
            <w:pPr>
              <w:rPr>
                <w:lang w:eastAsia="en-GB"/>
              </w:rPr>
            </w:pPr>
            <w:r>
              <w:rPr>
                <w:lang w:eastAsia="en-GB"/>
              </w:rPr>
              <w:t xml:space="preserve">Please note that for the purposes of the audit, both employees and volunteers that are involved in providing </w:t>
            </w:r>
            <w:r w:rsidR="00130871">
              <w:rPr>
                <w:lang w:eastAsia="en-GB"/>
              </w:rPr>
              <w:t xml:space="preserve">legal services </w:t>
            </w:r>
            <w:r>
              <w:rPr>
                <w:lang w:eastAsia="en-GB"/>
              </w:rPr>
              <w:t xml:space="preserve">will </w:t>
            </w:r>
            <w:r w:rsidR="0068195B">
              <w:rPr>
                <w:lang w:eastAsia="en-GB"/>
              </w:rPr>
              <w:t xml:space="preserve">be </w:t>
            </w:r>
            <w:r>
              <w:rPr>
                <w:lang w:eastAsia="en-GB"/>
              </w:rPr>
              <w:t xml:space="preserve">included and considered as part of the audit process.  </w:t>
            </w:r>
          </w:p>
          <w:p w14:paraId="24782DE0" w14:textId="77777777" w:rsidR="00015051" w:rsidRDefault="00015051" w:rsidP="00856D3C">
            <w:pPr>
              <w:rPr>
                <w:lang w:eastAsia="en-GB"/>
              </w:rPr>
            </w:pPr>
          </w:p>
          <w:p w14:paraId="64AF51BB" w14:textId="77777777" w:rsidR="007647A7" w:rsidRDefault="00856D3C" w:rsidP="00833999">
            <w:pPr>
              <w:tabs>
                <w:tab w:val="center" w:pos="4513"/>
                <w:tab w:val="right" w:pos="9026"/>
              </w:tabs>
              <w:rPr>
                <w:lang w:eastAsia="en-GB"/>
              </w:rPr>
            </w:pPr>
            <w:r>
              <w:rPr>
                <w:lang w:eastAsia="en-GB"/>
              </w:rPr>
              <w:t xml:space="preserve">It is essential that key personnel are available on the date agreed for the audit.  If the Auditor is unable to complete the audit process due to personnel not being available, a revisit will be required which will incur an additional cost. </w:t>
            </w:r>
            <w:r w:rsidR="00833999">
              <w:rPr>
                <w:lang w:eastAsia="en-GB"/>
              </w:rPr>
              <w:t>As a minimum, the interview sample will include those wi</w:t>
            </w:r>
            <w:r w:rsidR="007647A7">
              <w:rPr>
                <w:lang w:eastAsia="en-GB"/>
              </w:rPr>
              <w:t xml:space="preserve">th </w:t>
            </w:r>
            <w:r w:rsidR="00833999">
              <w:rPr>
                <w:lang w:eastAsia="en-GB"/>
              </w:rPr>
              <w:lastRenderedPageBreak/>
              <w:t>responsibility for the key roles of</w:t>
            </w:r>
            <w:r w:rsidR="007647A7">
              <w:rPr>
                <w:lang w:eastAsia="en-GB"/>
              </w:rPr>
              <w:t>:</w:t>
            </w:r>
          </w:p>
          <w:p w14:paraId="585368E8" w14:textId="5923223E" w:rsidR="001416E1" w:rsidRDefault="001416E1" w:rsidP="007647A7">
            <w:pPr>
              <w:pStyle w:val="ListParagraph"/>
              <w:numPr>
                <w:ilvl w:val="0"/>
                <w:numId w:val="4"/>
              </w:numPr>
              <w:tabs>
                <w:tab w:val="center" w:pos="4513"/>
                <w:tab w:val="right" w:pos="9026"/>
              </w:tabs>
              <w:rPr>
                <w:lang w:eastAsia="en-GB"/>
              </w:rPr>
            </w:pPr>
            <w:r>
              <w:rPr>
                <w:lang w:eastAsia="en-GB"/>
              </w:rPr>
              <w:t>Quality Manager</w:t>
            </w:r>
          </w:p>
          <w:p w14:paraId="12EC6B98"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Equality and Diversity Manager</w:t>
            </w:r>
          </w:p>
          <w:p w14:paraId="12E85B7F"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Complaints Manager</w:t>
            </w:r>
          </w:p>
          <w:p w14:paraId="770AD03B"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Category Supervisor</w:t>
            </w:r>
          </w:p>
          <w:p w14:paraId="74E35101"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Finance Manager</w:t>
            </w:r>
          </w:p>
          <w:p w14:paraId="4FA79104" w14:textId="77777777" w:rsidR="001416E1" w:rsidRDefault="001416E1" w:rsidP="001416E1">
            <w:pPr>
              <w:pStyle w:val="ListParagraph"/>
              <w:numPr>
                <w:ilvl w:val="0"/>
                <w:numId w:val="1"/>
              </w:numPr>
              <w:spacing w:after="160" w:line="259" w:lineRule="auto"/>
              <w:rPr>
                <w:lang w:eastAsia="en-GB"/>
              </w:rPr>
            </w:pPr>
            <w:r>
              <w:rPr>
                <w:lang w:eastAsia="en-GB"/>
              </w:rPr>
              <w:t>Data Protection Officer</w:t>
            </w:r>
          </w:p>
          <w:p w14:paraId="6A7337D1" w14:textId="77777777" w:rsidR="001416E1" w:rsidRDefault="001416E1" w:rsidP="001416E1">
            <w:pPr>
              <w:spacing w:after="160" w:line="259" w:lineRule="auto"/>
              <w:rPr>
                <w:lang w:eastAsia="en-GB"/>
              </w:rPr>
            </w:pPr>
            <w:r>
              <w:rPr>
                <w:lang w:eastAsia="en-GB"/>
              </w:rPr>
              <w:t>The interview sample will also extend to include the following roles:</w:t>
            </w:r>
          </w:p>
          <w:p w14:paraId="6131464F"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Fee earning/Caseworkers</w:t>
            </w:r>
          </w:p>
          <w:p w14:paraId="3A63286E" w14:textId="77777777" w:rsidR="001416E1" w:rsidRDefault="001416E1" w:rsidP="001416E1">
            <w:pPr>
              <w:pStyle w:val="ListParagraph"/>
              <w:numPr>
                <w:ilvl w:val="0"/>
                <w:numId w:val="1"/>
              </w:numPr>
              <w:tabs>
                <w:tab w:val="center" w:pos="4513"/>
                <w:tab w:val="right" w:pos="9026"/>
              </w:tabs>
              <w:spacing w:after="160" w:line="259" w:lineRule="auto"/>
              <w:rPr>
                <w:lang w:eastAsia="en-GB"/>
              </w:rPr>
            </w:pPr>
            <w:r>
              <w:rPr>
                <w:lang w:eastAsia="en-GB"/>
              </w:rPr>
              <w:t>Support staff (as appropriate)</w:t>
            </w:r>
          </w:p>
          <w:p w14:paraId="0912D4BD" w14:textId="77777777" w:rsidR="001416E1" w:rsidRDefault="001416E1" w:rsidP="001416E1">
            <w:pPr>
              <w:pStyle w:val="ListParagraph"/>
              <w:numPr>
                <w:ilvl w:val="0"/>
                <w:numId w:val="1"/>
              </w:numPr>
              <w:tabs>
                <w:tab w:val="center" w:pos="4513"/>
                <w:tab w:val="right" w:pos="9026"/>
              </w:tabs>
              <w:rPr>
                <w:lang w:eastAsia="en-GB"/>
              </w:rPr>
            </w:pPr>
            <w:r>
              <w:rPr>
                <w:lang w:eastAsia="en-GB"/>
              </w:rPr>
              <w:t>Consultants (as appropriate)</w:t>
            </w:r>
          </w:p>
          <w:p w14:paraId="7557860E" w14:textId="26FF3D18" w:rsidR="003B568C" w:rsidRDefault="003B568C" w:rsidP="00691824">
            <w:pPr>
              <w:rPr>
                <w:lang w:eastAsia="en-GB"/>
              </w:rPr>
            </w:pPr>
          </w:p>
        </w:tc>
      </w:tr>
      <w:tr w:rsidR="00A67E30" w14:paraId="40D69C01" w14:textId="77777777" w:rsidTr="00E03A66">
        <w:tc>
          <w:tcPr>
            <w:tcW w:w="9242" w:type="dxa"/>
            <w:gridSpan w:val="7"/>
          </w:tcPr>
          <w:p w14:paraId="3EA6C044" w14:textId="77777777" w:rsidR="00A67E30" w:rsidRDefault="00A67E30" w:rsidP="00A67E30">
            <w:pPr>
              <w:rPr>
                <w:b/>
                <w:lang w:eastAsia="en-GB"/>
              </w:rPr>
            </w:pPr>
          </w:p>
          <w:p w14:paraId="4046839F" w14:textId="264BF87F" w:rsidR="00A67E30" w:rsidRDefault="00A67E30" w:rsidP="00A67E30">
            <w:pPr>
              <w:rPr>
                <w:lang w:eastAsia="en-GB"/>
              </w:rPr>
            </w:pPr>
            <w:r w:rsidRPr="004F622E">
              <w:rPr>
                <w:b/>
                <w:lang w:eastAsia="en-GB"/>
              </w:rPr>
              <w:t>Accreditation Cycle:</w:t>
            </w:r>
            <w:r>
              <w:rPr>
                <w:b/>
                <w:lang w:eastAsia="en-GB"/>
              </w:rPr>
              <w:t xml:space="preserve"> </w:t>
            </w:r>
            <w:r>
              <w:rPr>
                <w:lang w:eastAsia="en-GB"/>
              </w:rPr>
              <w:t xml:space="preserve">New applicants to the SQM will require both a Desktop Audit and Pre-Quality Mark audit. Accreditation is awarded once the Pre-Quality mark audit has been successfully completed in full. Once accreditation is awarded, a Post Quality Mark Monitoring Audit will take place </w:t>
            </w:r>
            <w:r w:rsidR="007659E6">
              <w:rPr>
                <w:lang w:eastAsia="en-GB"/>
              </w:rPr>
              <w:t>at regular intervals. From 1</w:t>
            </w:r>
            <w:r w:rsidR="007659E6" w:rsidRPr="007659E6">
              <w:rPr>
                <w:vertAlign w:val="superscript"/>
                <w:lang w:eastAsia="en-GB"/>
              </w:rPr>
              <w:t>st</w:t>
            </w:r>
            <w:r w:rsidR="007659E6">
              <w:rPr>
                <w:lang w:eastAsia="en-GB"/>
              </w:rPr>
              <w:t xml:space="preserve"> October 2025, for any audit where the onsite activity is completed on or following this date, the accreditation period will last for a maximum of 5 years. </w:t>
            </w:r>
          </w:p>
          <w:p w14:paraId="786BF48D" w14:textId="77777777" w:rsidR="00A67E30" w:rsidRDefault="00A67E30" w:rsidP="00A67E30">
            <w:pPr>
              <w:rPr>
                <w:lang w:eastAsia="en-GB"/>
              </w:rPr>
            </w:pPr>
          </w:p>
          <w:p w14:paraId="6C3439BC" w14:textId="62AF4FE5" w:rsidR="00A67E30" w:rsidRPr="003B568C" w:rsidRDefault="00A67E30" w:rsidP="00A67E30">
            <w:pPr>
              <w:rPr>
                <w:lang w:eastAsia="en-GB"/>
              </w:rPr>
            </w:pPr>
            <w:r w:rsidRPr="003B568C">
              <w:rPr>
                <w:b/>
                <w:bCs/>
                <w:lang w:eastAsia="en-GB"/>
              </w:rPr>
              <w:t>Note:</w:t>
            </w:r>
            <w:r>
              <w:rPr>
                <w:lang w:eastAsia="en-GB"/>
              </w:rPr>
              <w:t xml:space="preserve"> When scheduling a post audit, consideration should be given to the expiry date of the current certificate of accreditation. Audits should be completed in full prior to the date of expiry of the current certificate. This includes any period of corrective action that may apply following the audit. </w:t>
            </w:r>
            <w:r w:rsidR="00C46FC4">
              <w:rPr>
                <w:lang w:eastAsia="en-GB"/>
              </w:rPr>
              <w:t xml:space="preserve"> </w:t>
            </w:r>
            <w:r w:rsidR="00C46FC4">
              <w:rPr>
                <w:b/>
                <w:bCs/>
                <w:lang w:eastAsia="en-GB"/>
              </w:rPr>
              <w:t>Recognising Excellence is unable to offer any extension to the SQM accreditation certificate in place.</w:t>
            </w:r>
          </w:p>
          <w:p w14:paraId="7702C899" w14:textId="77777777" w:rsidR="00A67E30" w:rsidRDefault="00A67E30" w:rsidP="00691824">
            <w:pPr>
              <w:rPr>
                <w:lang w:eastAsia="en-GB"/>
              </w:rPr>
            </w:pPr>
          </w:p>
        </w:tc>
      </w:tr>
      <w:tr w:rsidR="009469FB" w14:paraId="2BB8AA60" w14:textId="77777777" w:rsidTr="007B4E1C">
        <w:tc>
          <w:tcPr>
            <w:tcW w:w="1508" w:type="dxa"/>
          </w:tcPr>
          <w:p w14:paraId="1778ABED" w14:textId="77777777" w:rsidR="009469FB" w:rsidRDefault="009469FB" w:rsidP="001857E9">
            <w:pPr>
              <w:rPr>
                <w:b/>
                <w:lang w:eastAsia="en-GB"/>
              </w:rPr>
            </w:pPr>
          </w:p>
          <w:p w14:paraId="0B6859F3" w14:textId="0BA741BC" w:rsidR="009469FB" w:rsidRDefault="009469FB" w:rsidP="001857E9">
            <w:pPr>
              <w:rPr>
                <w:b/>
                <w:lang w:eastAsia="en-GB"/>
              </w:rPr>
            </w:pPr>
            <w:r>
              <w:rPr>
                <w:b/>
                <w:bCs/>
                <w:lang w:eastAsia="en-GB"/>
              </w:rPr>
              <w:t>Cancellation of your Audit:</w:t>
            </w:r>
          </w:p>
        </w:tc>
        <w:tc>
          <w:tcPr>
            <w:tcW w:w="7734" w:type="dxa"/>
            <w:gridSpan w:val="6"/>
          </w:tcPr>
          <w:p w14:paraId="23EA9749" w14:textId="77777777" w:rsidR="00CE6CE2" w:rsidRDefault="00CE6CE2" w:rsidP="001857E9">
            <w:pPr>
              <w:rPr>
                <w:lang w:eastAsia="en-GB"/>
              </w:rPr>
            </w:pPr>
          </w:p>
          <w:p w14:paraId="06BD1F3D" w14:textId="77777777" w:rsidR="009469FB" w:rsidRDefault="0076504B" w:rsidP="001857E9">
            <w:pPr>
              <w:rPr>
                <w:lang w:eastAsia="en-GB"/>
              </w:rPr>
            </w:pPr>
            <w:proofErr w:type="gramStart"/>
            <w:r>
              <w:rPr>
                <w:lang w:eastAsia="en-GB"/>
              </w:rPr>
              <w:t>In the event that</w:t>
            </w:r>
            <w:proofErr w:type="gramEnd"/>
            <w:r>
              <w:rPr>
                <w:lang w:eastAsia="en-GB"/>
              </w:rPr>
              <w:t xml:space="preserve"> a pre-arranged audit is cancelled or postponed</w:t>
            </w:r>
            <w:r w:rsidR="000B2D7D">
              <w:rPr>
                <w:lang w:eastAsia="en-GB"/>
              </w:rPr>
              <w:t xml:space="preserve"> within 48 hours or less of the date agreed,</w:t>
            </w:r>
            <w:r>
              <w:rPr>
                <w:lang w:eastAsia="en-GB"/>
              </w:rPr>
              <w:t xml:space="preserve"> a cancellation fee</w:t>
            </w:r>
            <w:r w:rsidR="00165E8F">
              <w:rPr>
                <w:lang w:eastAsia="en-GB"/>
              </w:rPr>
              <w:t xml:space="preserve"> equal to 60% of the total audit fee will be charged.</w:t>
            </w:r>
          </w:p>
          <w:p w14:paraId="0A01C82D" w14:textId="77777777" w:rsidR="00F66A79" w:rsidRDefault="00F66A79" w:rsidP="00F66A79">
            <w:pPr>
              <w:rPr>
                <w:rFonts w:cs="Calibri"/>
                <w:lang w:eastAsia="en-GB"/>
              </w:rPr>
            </w:pPr>
            <w:r>
              <w:rPr>
                <w:lang w:eastAsia="en-GB"/>
              </w:rPr>
              <w:t>W</w:t>
            </w:r>
            <w:r w:rsidRPr="002028F1">
              <w:rPr>
                <w:rFonts w:cs="Calibri"/>
                <w:lang w:eastAsia="en-GB"/>
              </w:rPr>
              <w:t xml:space="preserve">e reserve the right to cancel an arranged audit </w:t>
            </w:r>
            <w:proofErr w:type="gramStart"/>
            <w:r w:rsidRPr="002028F1">
              <w:rPr>
                <w:rFonts w:cs="Calibri"/>
                <w:lang w:eastAsia="en-GB"/>
              </w:rPr>
              <w:t>in the event that</w:t>
            </w:r>
            <w:proofErr w:type="gramEnd"/>
            <w:r w:rsidRPr="002028F1">
              <w:rPr>
                <w:rFonts w:cs="Calibri"/>
                <w:lang w:eastAsia="en-GB"/>
              </w:rPr>
              <w:t xml:space="preserve"> the audit fee remains unpaid</w:t>
            </w:r>
            <w:r>
              <w:rPr>
                <w:rFonts w:cs="Calibri"/>
                <w:lang w:eastAsia="en-GB"/>
              </w:rPr>
              <w:t xml:space="preserve"> in the 48 hours prior to audit commencement. </w:t>
            </w:r>
            <w:r w:rsidRPr="002028F1">
              <w:rPr>
                <w:rFonts w:cs="Calibri"/>
                <w:lang w:eastAsia="en-GB"/>
              </w:rPr>
              <w:t xml:space="preserve"> </w:t>
            </w:r>
          </w:p>
          <w:p w14:paraId="3D4F7141" w14:textId="79BA9A44" w:rsidR="00CE6CE2" w:rsidRPr="00994CE4" w:rsidRDefault="00CE6CE2" w:rsidP="001857E9">
            <w:pPr>
              <w:rPr>
                <w:lang w:eastAsia="en-GB"/>
              </w:rPr>
            </w:pPr>
          </w:p>
        </w:tc>
      </w:tr>
    </w:tbl>
    <w:p w14:paraId="22FE143D" w14:textId="77777777" w:rsidR="00691824" w:rsidRDefault="00691824" w:rsidP="004F622E">
      <w:pPr>
        <w:rPr>
          <w:b/>
          <w:lang w:eastAsia="en-GB"/>
        </w:rPr>
      </w:pPr>
    </w:p>
    <w:sectPr w:rsidR="00691824" w:rsidSect="003E436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4B7C" w14:textId="77777777" w:rsidR="00945D31" w:rsidRDefault="00945D31" w:rsidP="009E3CA8">
      <w:pPr>
        <w:spacing w:after="0" w:line="240" w:lineRule="auto"/>
      </w:pPr>
      <w:r>
        <w:separator/>
      </w:r>
    </w:p>
  </w:endnote>
  <w:endnote w:type="continuationSeparator" w:id="0">
    <w:p w14:paraId="31FFBFDC" w14:textId="77777777" w:rsidR="00945D31" w:rsidRDefault="00945D31" w:rsidP="009E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0629"/>
      <w:docPartObj>
        <w:docPartGallery w:val="Page Numbers (Bottom of Page)"/>
        <w:docPartUnique/>
      </w:docPartObj>
    </w:sdtPr>
    <w:sdtEndPr>
      <w:rPr>
        <w:noProof/>
      </w:rPr>
    </w:sdtEndPr>
    <w:sdtContent>
      <w:p w14:paraId="3F588771" w14:textId="323C7F3C" w:rsidR="00A67E30" w:rsidRDefault="00A67E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D05D5E" w14:textId="79D05222" w:rsidR="009E3CA8" w:rsidRDefault="00A67E30">
    <w:pPr>
      <w:pStyle w:val="Footer"/>
    </w:pPr>
    <w:r>
      <w:t>Pricing Schedule</w:t>
    </w:r>
    <w:r w:rsidR="002B2434">
      <w:t xml:space="preserve"> –</w:t>
    </w:r>
    <w:r w:rsidR="00074B12">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0621" w14:textId="77777777" w:rsidR="00945D31" w:rsidRDefault="00945D31" w:rsidP="009E3CA8">
      <w:pPr>
        <w:spacing w:after="0" w:line="240" w:lineRule="auto"/>
      </w:pPr>
      <w:r>
        <w:separator/>
      </w:r>
    </w:p>
  </w:footnote>
  <w:footnote w:type="continuationSeparator" w:id="0">
    <w:p w14:paraId="7A715981" w14:textId="77777777" w:rsidR="00945D31" w:rsidRDefault="00945D31" w:rsidP="009E3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5D5C" w14:textId="77777777" w:rsidR="009E3CA8" w:rsidRDefault="009E3CA8">
    <w:pPr>
      <w:pStyle w:val="Header"/>
    </w:pPr>
    <w:r>
      <w:rPr>
        <w:noProof/>
        <w:lang w:eastAsia="en-GB"/>
      </w:rPr>
      <w:drawing>
        <wp:inline distT="0" distB="0" distL="0" distR="0" wp14:anchorId="46D05D5F" wp14:editId="46D05D60">
          <wp:extent cx="1200150" cy="694690"/>
          <wp:effectExtent l="0" t="0" r="0" b="0"/>
          <wp:docPr id="1" name="Picture 1" descr="\\blg.local\root\GELFolderRedirect\ajordan\Desktop\Recognis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blg.local\root\GELFolderRedirect\ajordan\Desktop\Recognising Excellen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1249" cy="695326"/>
                  </a:xfrm>
                  <a:prstGeom prst="rect">
                    <a:avLst/>
                  </a:prstGeom>
                  <a:noFill/>
                  <a:ln>
                    <a:noFill/>
                  </a:ln>
                </pic:spPr>
              </pic:pic>
            </a:graphicData>
          </a:graphic>
        </wp:inline>
      </w:drawing>
    </w:r>
    <w:r w:rsidR="00994CE4">
      <w:tab/>
    </w:r>
    <w:r w:rsidR="00994CE4">
      <w:tab/>
    </w:r>
    <w:r w:rsidR="00994CE4">
      <w:rPr>
        <w:noProof/>
        <w:lang w:eastAsia="en-GB"/>
      </w:rPr>
      <w:drawing>
        <wp:inline distT="0" distB="0" distL="0" distR="0" wp14:anchorId="46D05D61" wp14:editId="46D05D62">
          <wp:extent cx="1638300" cy="809625"/>
          <wp:effectExtent l="19050" t="0" r="0" b="0"/>
          <wp:docPr id="2" name="Picture 1" descr="K:\Amanda\Specialist Quality Mark (SQM)\Logo\SQM_Final_Logo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nda\Specialist Quality Mark (SQM)\Logo\SQM_Final_Logo_V1.jpg"/>
                  <pic:cNvPicPr>
                    <a:picLocks noChangeAspect="1" noChangeArrowheads="1"/>
                  </pic:cNvPicPr>
                </pic:nvPicPr>
                <pic:blipFill>
                  <a:blip r:embed="rId2"/>
                  <a:srcRect/>
                  <a:stretch>
                    <a:fillRect/>
                  </a:stretch>
                </pic:blipFill>
                <pic:spPr bwMode="auto">
                  <a:xfrm>
                    <a:off x="0" y="0"/>
                    <a:ext cx="1638300" cy="809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7A30"/>
    <w:multiLevelType w:val="hybridMultilevel"/>
    <w:tmpl w:val="A7C2610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47484D8C"/>
    <w:multiLevelType w:val="hybridMultilevel"/>
    <w:tmpl w:val="972E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47405"/>
    <w:multiLevelType w:val="hybridMultilevel"/>
    <w:tmpl w:val="7994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D5AEF"/>
    <w:multiLevelType w:val="hybridMultilevel"/>
    <w:tmpl w:val="ADDA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8174318">
    <w:abstractNumId w:val="2"/>
  </w:num>
  <w:num w:numId="2" w16cid:durableId="1243832577">
    <w:abstractNumId w:val="3"/>
  </w:num>
  <w:num w:numId="3" w16cid:durableId="53747587">
    <w:abstractNumId w:val="0"/>
  </w:num>
  <w:num w:numId="4" w16cid:durableId="81278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CA8"/>
    <w:rsid w:val="00015051"/>
    <w:rsid w:val="0001647C"/>
    <w:rsid w:val="00074B12"/>
    <w:rsid w:val="000B2D7D"/>
    <w:rsid w:val="000E662E"/>
    <w:rsid w:val="00100E8D"/>
    <w:rsid w:val="00130871"/>
    <w:rsid w:val="001416E1"/>
    <w:rsid w:val="0016501C"/>
    <w:rsid w:val="00165E8F"/>
    <w:rsid w:val="001970AF"/>
    <w:rsid w:val="00197DC7"/>
    <w:rsid w:val="001D274B"/>
    <w:rsid w:val="001F54DA"/>
    <w:rsid w:val="002002A7"/>
    <w:rsid w:val="00212BC4"/>
    <w:rsid w:val="0025510D"/>
    <w:rsid w:val="00257BC9"/>
    <w:rsid w:val="002751C0"/>
    <w:rsid w:val="00292DB2"/>
    <w:rsid w:val="002B0183"/>
    <w:rsid w:val="002B2434"/>
    <w:rsid w:val="002C1128"/>
    <w:rsid w:val="002D6626"/>
    <w:rsid w:val="00355FF4"/>
    <w:rsid w:val="003B568C"/>
    <w:rsid w:val="003C2428"/>
    <w:rsid w:val="003E436E"/>
    <w:rsid w:val="00400ED0"/>
    <w:rsid w:val="00411661"/>
    <w:rsid w:val="00441151"/>
    <w:rsid w:val="00460A78"/>
    <w:rsid w:val="0046417A"/>
    <w:rsid w:val="0046563D"/>
    <w:rsid w:val="00466FA8"/>
    <w:rsid w:val="00471F3B"/>
    <w:rsid w:val="004B2913"/>
    <w:rsid w:val="004F622E"/>
    <w:rsid w:val="00500C46"/>
    <w:rsid w:val="00506463"/>
    <w:rsid w:val="00510151"/>
    <w:rsid w:val="00582053"/>
    <w:rsid w:val="005A7D4E"/>
    <w:rsid w:val="005C05CA"/>
    <w:rsid w:val="005C221A"/>
    <w:rsid w:val="005E4665"/>
    <w:rsid w:val="005F0270"/>
    <w:rsid w:val="005F08E1"/>
    <w:rsid w:val="00634E43"/>
    <w:rsid w:val="006366FC"/>
    <w:rsid w:val="00637EFB"/>
    <w:rsid w:val="00666BBF"/>
    <w:rsid w:val="0068195B"/>
    <w:rsid w:val="00691824"/>
    <w:rsid w:val="006B1AE9"/>
    <w:rsid w:val="006D117A"/>
    <w:rsid w:val="007647A7"/>
    <w:rsid w:val="0076504B"/>
    <w:rsid w:val="007659E6"/>
    <w:rsid w:val="007744FE"/>
    <w:rsid w:val="00796958"/>
    <w:rsid w:val="007B3ECA"/>
    <w:rsid w:val="007B4E1C"/>
    <w:rsid w:val="007B557D"/>
    <w:rsid w:val="007C6879"/>
    <w:rsid w:val="007E70D5"/>
    <w:rsid w:val="007F1CFD"/>
    <w:rsid w:val="00802C26"/>
    <w:rsid w:val="00811B12"/>
    <w:rsid w:val="00826CB2"/>
    <w:rsid w:val="00833999"/>
    <w:rsid w:val="00851CE6"/>
    <w:rsid w:val="00856D3C"/>
    <w:rsid w:val="008609BD"/>
    <w:rsid w:val="00863915"/>
    <w:rsid w:val="008A2722"/>
    <w:rsid w:val="008B1E7E"/>
    <w:rsid w:val="009144B1"/>
    <w:rsid w:val="00945D31"/>
    <w:rsid w:val="009469FB"/>
    <w:rsid w:val="0095569F"/>
    <w:rsid w:val="00994CE4"/>
    <w:rsid w:val="009E3CA8"/>
    <w:rsid w:val="00A02D9B"/>
    <w:rsid w:val="00A6124D"/>
    <w:rsid w:val="00A67E30"/>
    <w:rsid w:val="00AC0F61"/>
    <w:rsid w:val="00AD2A03"/>
    <w:rsid w:val="00AD5AF1"/>
    <w:rsid w:val="00B32523"/>
    <w:rsid w:val="00B754B1"/>
    <w:rsid w:val="00BE6EC2"/>
    <w:rsid w:val="00BF4010"/>
    <w:rsid w:val="00BF596D"/>
    <w:rsid w:val="00C23D0D"/>
    <w:rsid w:val="00C46FC4"/>
    <w:rsid w:val="00C7312E"/>
    <w:rsid w:val="00C8496D"/>
    <w:rsid w:val="00C87A20"/>
    <w:rsid w:val="00C91900"/>
    <w:rsid w:val="00C959BD"/>
    <w:rsid w:val="00CE1DE3"/>
    <w:rsid w:val="00CE6CE2"/>
    <w:rsid w:val="00CF5FA9"/>
    <w:rsid w:val="00D45199"/>
    <w:rsid w:val="00D744A9"/>
    <w:rsid w:val="00DA043F"/>
    <w:rsid w:val="00DD08FD"/>
    <w:rsid w:val="00DD5A18"/>
    <w:rsid w:val="00E16D6B"/>
    <w:rsid w:val="00E41FC8"/>
    <w:rsid w:val="00E54C39"/>
    <w:rsid w:val="00E80291"/>
    <w:rsid w:val="00EC08AA"/>
    <w:rsid w:val="00EC59CA"/>
    <w:rsid w:val="00F66A79"/>
    <w:rsid w:val="00FA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5D21"/>
  <w15:docId w15:val="{92390E8D-6787-41A8-90B4-85924F13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CA8"/>
  </w:style>
  <w:style w:type="paragraph" w:styleId="Footer">
    <w:name w:val="footer"/>
    <w:basedOn w:val="Normal"/>
    <w:link w:val="FooterChar"/>
    <w:uiPriority w:val="99"/>
    <w:unhideWhenUsed/>
    <w:rsid w:val="009E3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CA8"/>
  </w:style>
  <w:style w:type="table" w:styleId="TableGrid">
    <w:name w:val="Table Grid"/>
    <w:basedOn w:val="TableNormal"/>
    <w:uiPriority w:val="39"/>
    <w:rsid w:val="009E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12"/>
    <w:rPr>
      <w:rFonts w:ascii="Tahoma" w:hAnsi="Tahoma" w:cs="Tahoma"/>
      <w:sz w:val="16"/>
      <w:szCs w:val="16"/>
    </w:rPr>
  </w:style>
  <w:style w:type="character" w:customStyle="1" w:styleId="tgc">
    <w:name w:val="_tgc"/>
    <w:basedOn w:val="DefaultParagraphFont"/>
    <w:rsid w:val="0095569F"/>
  </w:style>
  <w:style w:type="paragraph" w:styleId="ListParagraph">
    <w:name w:val="List Paragraph"/>
    <w:basedOn w:val="Normal"/>
    <w:uiPriority w:val="34"/>
    <w:qFormat/>
    <w:rsid w:val="00681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3776">
      <w:bodyDiv w:val="1"/>
      <w:marLeft w:val="0"/>
      <w:marRight w:val="0"/>
      <w:marTop w:val="0"/>
      <w:marBottom w:val="0"/>
      <w:divBdr>
        <w:top w:val="none" w:sz="0" w:space="0" w:color="auto"/>
        <w:left w:val="none" w:sz="0" w:space="0" w:color="auto"/>
        <w:bottom w:val="none" w:sz="0" w:space="0" w:color="auto"/>
        <w:right w:val="none" w:sz="0" w:space="0" w:color="auto"/>
      </w:divBdr>
    </w:div>
    <w:div w:id="793182626">
      <w:bodyDiv w:val="1"/>
      <w:marLeft w:val="0"/>
      <w:marRight w:val="0"/>
      <w:marTop w:val="0"/>
      <w:marBottom w:val="0"/>
      <w:divBdr>
        <w:top w:val="none" w:sz="0" w:space="0" w:color="auto"/>
        <w:left w:val="none" w:sz="0" w:space="0" w:color="auto"/>
        <w:bottom w:val="none" w:sz="0" w:space="0" w:color="auto"/>
        <w:right w:val="none" w:sz="0" w:space="0" w:color="auto"/>
      </w:divBdr>
    </w:div>
    <w:div w:id="1315531490">
      <w:bodyDiv w:val="1"/>
      <w:marLeft w:val="0"/>
      <w:marRight w:val="0"/>
      <w:marTop w:val="0"/>
      <w:marBottom w:val="0"/>
      <w:divBdr>
        <w:top w:val="none" w:sz="0" w:space="0" w:color="auto"/>
        <w:left w:val="none" w:sz="0" w:space="0" w:color="auto"/>
        <w:bottom w:val="none" w:sz="0" w:space="0" w:color="auto"/>
        <w:right w:val="none" w:sz="0" w:space="0" w:color="auto"/>
      </w:divBdr>
    </w:div>
    <w:div w:id="19833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MigrationWizIdPermissions xmlns="f6b14013-6159-4d09-a6a6-8a18a7a1bb7a">f6134c41-472a-4282-8596-06048ee56762</MigrationWizIdPermissions>
    <MigrationWizIdDocumentLibraryPermissions xmlns="f6b14013-6159-4d09-a6a6-8a18a7a1bb7a" xsi:nil="true"/>
    <MigrationWizIdPermissionLevels xmlns="f6b14013-6159-4d09-a6a6-8a18a7a1bb7a" xsi:nil="true"/>
    <MigrationWizId xmlns="f6b14013-6159-4d09-a6a6-8a18a7a1bb7a">f6134c41-472a-4282-8596-06048ee56762</MigrationWizId>
    <lcf76f155ced4ddcb4097134ff3c332f xmlns="f6b14013-6159-4d09-a6a6-8a18a7a1bb7a">
      <Terms xmlns="http://schemas.microsoft.com/office/infopath/2007/PartnerControls"/>
    </lcf76f155ced4ddcb4097134ff3c332f>
    <TaxCatchAll xmlns="e31f043f-7b16-4b95-8fea-5bfc8e1738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ccf05d20db76745b6d46d8a6deb4b59c">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6dbf64f67bd0d628b6d7c47f6a46715f"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C69C1-D144-45FB-AD15-8F985E5F7183}">
  <ds:schemaRefs>
    <ds:schemaRef ds:uri="http://schemas.microsoft.com/sharepoint/v3/contenttype/forms"/>
  </ds:schemaRefs>
</ds:datastoreItem>
</file>

<file path=customXml/itemProps2.xml><?xml version="1.0" encoding="utf-8"?>
<ds:datastoreItem xmlns:ds="http://schemas.openxmlformats.org/officeDocument/2006/customXml" ds:itemID="{4EFA08FD-5BA9-4D74-BF39-D4460793DF31}">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customXml/itemProps3.xml><?xml version="1.0" encoding="utf-8"?>
<ds:datastoreItem xmlns:ds="http://schemas.openxmlformats.org/officeDocument/2006/customXml" ds:itemID="{3E9119C5-8563-4755-89AA-9BA6C215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4013-6159-4d09-a6a6-8a18a7a1bb7a"/>
    <ds:schemaRef ds:uri="e31f043f-7b16-4b95-8fea-5bfc8e17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1027</Words>
  <Characters>5395</Characters>
  <Application>Microsoft Office Word</Application>
  <DocSecurity>0</DocSecurity>
  <Lines>199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Jordan</dc:creator>
  <cp:keywords/>
  <dc:description/>
  <cp:lastModifiedBy>Amanda Jordan</cp:lastModifiedBy>
  <cp:revision>22</cp:revision>
  <dcterms:created xsi:type="dcterms:W3CDTF">2022-08-07T17:11:00Z</dcterms:created>
  <dcterms:modified xsi:type="dcterms:W3CDTF">2025-09-30T15:14:00Z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